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691BE6C0" w:rsidR="0025287F" w:rsidRDefault="005C3051">
      <w:pPr>
        <w:pStyle w:val="Textoindependiente"/>
        <w:ind w:left="100"/>
        <w:rPr>
          <w:rFonts w:ascii="Times New Roman"/>
          <w:sz w:val="20"/>
        </w:rPr>
        <w:sectPr w:rsidR="0025287F" w:rsidSect="00C63449">
          <w:headerReference w:type="default" r:id="rId11"/>
          <w:footerReference w:type="default" r:id="rId12"/>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6E8E6DEC">
                <wp:simplePos x="0" y="0"/>
                <wp:positionH relativeFrom="column">
                  <wp:posOffset>-441325</wp:posOffset>
                </wp:positionH>
                <wp:positionV relativeFrom="paragraph">
                  <wp:posOffset>8161655</wp:posOffset>
                </wp:positionV>
                <wp:extent cx="6974205" cy="2128520"/>
                <wp:effectExtent l="0" t="0" r="0" b="0"/>
                <wp:wrapNone/>
                <wp:docPr id="1925374401"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2FFF15EC"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6C5210">
                              <w:rPr>
                                <w:rFonts w:ascii="Aptos" w:eastAsiaTheme="minorEastAsia" w:hAnsi="Aptos" w:cstheme="minorBidi"/>
                                <w:b/>
                                <w:bCs/>
                                <w:color w:val="FFFFFF" w:themeColor="background1"/>
                                <w:sz w:val="20"/>
                                <w:szCs w:val="20"/>
                                <w:lang w:val="es-CL" w:eastAsia="zh-CN"/>
                              </w:rPr>
                              <w:t xml:space="preserve">9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6C5210">
                              <w:rPr>
                                <w:rFonts w:ascii="Aptos" w:eastAsiaTheme="minorEastAsia" w:hAnsi="Aptos" w:cstheme="minorBidi"/>
                                <w:b/>
                                <w:bCs/>
                                <w:color w:val="FFFFFF" w:themeColor="background1"/>
                                <w:sz w:val="20"/>
                                <w:szCs w:val="20"/>
                                <w:lang w:eastAsia="zh-CN"/>
                              </w:rPr>
                              <w:t>Gestión de Incidentes</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1FA66C71" w:rsidR="00783A4C" w:rsidRPr="004440DF" w:rsidRDefault="0006261F" w:rsidP="00C7129A">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bookmarkStart w:id="0" w:name="_Hlk174706847"/>
                            <w:bookmarkStart w:id="1" w:name="_Hlk174706848"/>
                            <w:r>
                              <w:rPr>
                                <w:rFonts w:ascii="Aptos" w:eastAsiaTheme="minorEastAsia" w:hAnsi="Aptos" w:cstheme="minorBidi"/>
                                <w:b/>
                                <w:bCs/>
                                <w:color w:val="FFFFFF" w:themeColor="background1"/>
                                <w:sz w:val="56"/>
                                <w:szCs w:val="56"/>
                                <w:lang w:eastAsia="zh-CN"/>
                              </w:rPr>
                              <w:t>Políticas y Procedimientos</w:t>
                            </w:r>
                            <w:bookmarkEnd w:id="0"/>
                            <w:bookmarkEnd w:id="1"/>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2FFF15EC"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6C5210">
                        <w:rPr>
                          <w:rFonts w:ascii="Aptos" w:eastAsiaTheme="minorEastAsia" w:hAnsi="Aptos" w:cstheme="minorBidi"/>
                          <w:b/>
                          <w:bCs/>
                          <w:color w:val="FFFFFF" w:themeColor="background1"/>
                          <w:sz w:val="20"/>
                          <w:szCs w:val="20"/>
                          <w:lang w:val="es-CL" w:eastAsia="zh-CN"/>
                        </w:rPr>
                        <w:t xml:space="preserve">9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6C5210">
                        <w:rPr>
                          <w:rFonts w:ascii="Aptos" w:eastAsiaTheme="minorEastAsia" w:hAnsi="Aptos" w:cstheme="minorBidi"/>
                          <w:b/>
                          <w:bCs/>
                          <w:color w:val="FFFFFF" w:themeColor="background1"/>
                          <w:sz w:val="20"/>
                          <w:szCs w:val="20"/>
                          <w:lang w:eastAsia="zh-CN"/>
                        </w:rPr>
                        <w:t>Gestión de Incidentes</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1FA66C71" w:rsidR="00783A4C" w:rsidRPr="004440DF" w:rsidRDefault="0006261F" w:rsidP="00C7129A">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bookmarkStart w:id="2" w:name="_Hlk174706847"/>
                      <w:bookmarkStart w:id="3" w:name="_Hlk174706848"/>
                      <w:r>
                        <w:rPr>
                          <w:rFonts w:ascii="Aptos" w:eastAsiaTheme="minorEastAsia" w:hAnsi="Aptos" w:cstheme="minorBidi"/>
                          <w:b/>
                          <w:bCs/>
                          <w:color w:val="FFFFFF" w:themeColor="background1"/>
                          <w:sz w:val="56"/>
                          <w:szCs w:val="56"/>
                          <w:lang w:eastAsia="zh-CN"/>
                        </w:rPr>
                        <w:t>Políticas y Procedimientos</w:t>
                      </w:r>
                      <w:bookmarkEnd w:id="2"/>
                      <w:bookmarkEnd w:id="3"/>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3">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25D3B219" w:rsidR="007766F8" w:rsidRPr="007D390E" w:rsidRDefault="005C3051"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26D67650">
                <wp:simplePos x="0" y="0"/>
                <wp:positionH relativeFrom="page">
                  <wp:posOffset>914400</wp:posOffset>
                </wp:positionH>
                <wp:positionV relativeFrom="paragraph">
                  <wp:posOffset>292100</wp:posOffset>
                </wp:positionV>
                <wp:extent cx="5943600" cy="7610475"/>
                <wp:effectExtent l="0" t="0" r="0" b="9525"/>
                <wp:wrapNone/>
                <wp:docPr id="947532594"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43600" cy="7610475"/>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AAA28C" id="Freeform 107" o:spid="_x0000_s1026" style="position:absolute;margin-left:1in;margin-top:23pt;width:468pt;height:599.2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" path="m9321,9765r-9282,l33,9764,,9726,,39,39,,9321,r39,39l9360,9726r-33,38l9321,9765xe" fillcolor="#e7f2f7" stroked="f">
                <v:path arrowok="t" o:connecttype="custom" o:connectlocs="5918835,7422649;24765,7422649;20955,7421869;0,7392253;0,-157431;24765,-187826;5918835,-187826;5943600,-157431;5943600,7392253;5922645,7421869" o:connectangles="0,0,0,0,0,0,0,0,0,0"/>
                <w10:wrap anchorx="page"/>
              </v:shape>
            </w:pict>
          </mc:Fallback>
        </mc:AlternateContent>
      </w:r>
    </w:p>
    <w:p w14:paraId="43A0220D" w14:textId="514EAE87" w:rsidR="007766F8" w:rsidRPr="007D390E" w:rsidRDefault="0022448B"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16B23AD8" w14:textId="77777777" w:rsidR="00327358" w:rsidRPr="00327358" w:rsidRDefault="00327358" w:rsidP="00327358">
      <w:pPr>
        <w:pStyle w:val="Textoindependiente"/>
        <w:rPr>
          <w:rFonts w:ascii="Aptos" w:eastAsia="Times New Roman" w:hAnsi="Aptos" w:cs="Times New Roman"/>
          <w:b/>
          <w:bCs/>
          <w:lang w:val="es-CL" w:eastAsia="es-CL"/>
        </w:rPr>
      </w:pPr>
      <w:r w:rsidRPr="00327358">
        <w:rPr>
          <w:rFonts w:ascii="Aptos" w:eastAsia="Times New Roman" w:hAnsi="Aptos" w:cs="Times New Roman"/>
          <w:b/>
          <w:bCs/>
          <w:lang w:val="es-CL" w:eastAsia="es-CL"/>
        </w:rPr>
        <w:t>Competencias Básicas del Auditor</w:t>
      </w:r>
    </w:p>
    <w:p w14:paraId="1DE54E9E" w14:textId="77777777" w:rsidR="00327358" w:rsidRDefault="00327358" w:rsidP="00327358">
      <w:pPr>
        <w:pStyle w:val="Textoindependiente"/>
        <w:spacing w:line="276" w:lineRule="auto"/>
        <w:ind w:right="737"/>
        <w:jc w:val="both"/>
        <w:rPr>
          <w:rFonts w:ascii="Aptos" w:eastAsia="Times New Roman" w:hAnsi="Aptos" w:cs="Times New Roman"/>
          <w:b/>
          <w:bCs/>
          <w:lang w:val="es-CL" w:eastAsia="es-CL"/>
        </w:rPr>
      </w:pPr>
    </w:p>
    <w:p w14:paraId="2120164A" w14:textId="507E71EC" w:rsidR="00F02D0D" w:rsidRPr="00F02D0D" w:rsidRDefault="00F02D0D" w:rsidP="00F02D0D">
      <w:pPr>
        <w:pStyle w:val="Textoindependiente"/>
        <w:numPr>
          <w:ilvl w:val="0"/>
          <w:numId w:val="49"/>
        </w:numPr>
        <w:spacing w:line="276" w:lineRule="auto"/>
        <w:ind w:right="737"/>
        <w:jc w:val="both"/>
        <w:rPr>
          <w:rFonts w:ascii="Aptos" w:eastAsia="Times New Roman" w:hAnsi="Aptos" w:cs="Times New Roman"/>
          <w:b/>
          <w:bCs/>
          <w:lang w:val="es-CL" w:eastAsia="es-CL"/>
        </w:rPr>
      </w:pPr>
      <w:r w:rsidRPr="00F02D0D">
        <w:rPr>
          <w:rFonts w:ascii="Aptos" w:eastAsia="Times New Roman" w:hAnsi="Aptos" w:cs="Times New Roman"/>
          <w:b/>
          <w:bCs/>
          <w:lang w:val="es-CL" w:eastAsia="es-CL"/>
        </w:rPr>
        <w:t>Conocimiento Profundo en Gestión de Incidentes de Seguridad:</w:t>
      </w:r>
      <w:r w:rsidRPr="00F02D0D">
        <w:rPr>
          <w:rFonts w:ascii="Aptos" w:eastAsia="Times New Roman" w:hAnsi="Aptos" w:cs="Times New Roman"/>
          <w:lang w:val="es-CL" w:eastAsia="es-CL"/>
        </w:rPr>
        <w:t xml:space="preserve"> Entender los principios y mejores prácticas en la gestión de incidentes de seguridad, incluyendo la identificación, contención, erradicación, y recuperación de incidentes.</w:t>
      </w:r>
    </w:p>
    <w:p w14:paraId="6703E820" w14:textId="6650C4B9" w:rsidR="00F02D0D" w:rsidRPr="00F02D0D" w:rsidRDefault="00F02D0D" w:rsidP="00F02D0D">
      <w:pPr>
        <w:pStyle w:val="Textoindependiente"/>
        <w:numPr>
          <w:ilvl w:val="0"/>
          <w:numId w:val="49"/>
        </w:numPr>
        <w:spacing w:line="276" w:lineRule="auto"/>
        <w:ind w:right="737"/>
        <w:jc w:val="both"/>
        <w:rPr>
          <w:rFonts w:ascii="Aptos" w:eastAsia="Times New Roman" w:hAnsi="Aptos" w:cs="Times New Roman"/>
          <w:lang w:val="es-CL" w:eastAsia="es-CL"/>
        </w:rPr>
      </w:pPr>
      <w:r w:rsidRPr="00F02D0D">
        <w:rPr>
          <w:rFonts w:ascii="Aptos" w:eastAsia="Times New Roman" w:hAnsi="Aptos" w:cs="Times New Roman"/>
          <w:b/>
          <w:bCs/>
          <w:lang w:val="es-CL" w:eastAsia="es-CL"/>
        </w:rPr>
        <w:t>Experiencia en Identificación y Clasificación de Incidentes</w:t>
      </w:r>
      <w:r w:rsidRPr="00F02D0D">
        <w:rPr>
          <w:rFonts w:ascii="Aptos" w:eastAsia="Times New Roman" w:hAnsi="Aptos" w:cs="Times New Roman"/>
          <w:lang w:val="es-CL" w:eastAsia="es-CL"/>
        </w:rPr>
        <w:t>: Tener habilidades para identificar, clasificar y priorizar incidentes de seguridad, diferenciando entre eventos menores y amenazas críticas, y asignando los recursos apropiados.</w:t>
      </w:r>
    </w:p>
    <w:p w14:paraId="1BED0C43" w14:textId="6AFB57AF" w:rsidR="00F02D0D" w:rsidRPr="00F02D0D" w:rsidRDefault="00F02D0D" w:rsidP="00F02D0D">
      <w:pPr>
        <w:pStyle w:val="Textoindependiente"/>
        <w:numPr>
          <w:ilvl w:val="0"/>
          <w:numId w:val="49"/>
        </w:numPr>
        <w:spacing w:line="276" w:lineRule="auto"/>
        <w:ind w:right="737"/>
        <w:jc w:val="both"/>
        <w:rPr>
          <w:rFonts w:ascii="Aptos" w:eastAsia="Times New Roman" w:hAnsi="Aptos" w:cs="Times New Roman"/>
          <w:lang w:val="es-CL" w:eastAsia="es-CL"/>
        </w:rPr>
      </w:pPr>
      <w:r w:rsidRPr="00F02D0D">
        <w:rPr>
          <w:rFonts w:ascii="Aptos" w:eastAsia="Times New Roman" w:hAnsi="Aptos" w:cs="Times New Roman"/>
          <w:b/>
          <w:bCs/>
          <w:lang w:val="es-CL" w:eastAsia="es-CL"/>
        </w:rPr>
        <w:t>Conocimiento en Normativas y Estándares de Gestión de Incidentes</w:t>
      </w:r>
      <w:r w:rsidRPr="00F02D0D">
        <w:rPr>
          <w:rFonts w:ascii="Aptos" w:eastAsia="Times New Roman" w:hAnsi="Aptos" w:cs="Times New Roman"/>
          <w:lang w:val="es-CL" w:eastAsia="es-CL"/>
        </w:rPr>
        <w:t>: Estar familiarizado con normativas y estándares internacionales relacionados con la gestión de incidentes, como ISO/IEC 27035, NIST SP 800-61, y las políticas internas de la organización.</w:t>
      </w:r>
    </w:p>
    <w:p w14:paraId="6FFC2ABF" w14:textId="12658AE6" w:rsidR="00F02D0D" w:rsidRPr="00F02D0D" w:rsidRDefault="00F02D0D" w:rsidP="00F02D0D">
      <w:pPr>
        <w:pStyle w:val="Textoindependiente"/>
        <w:numPr>
          <w:ilvl w:val="0"/>
          <w:numId w:val="49"/>
        </w:numPr>
        <w:spacing w:line="276" w:lineRule="auto"/>
        <w:ind w:right="737"/>
        <w:jc w:val="both"/>
        <w:rPr>
          <w:rFonts w:ascii="Aptos" w:eastAsia="Times New Roman" w:hAnsi="Aptos" w:cs="Times New Roman"/>
          <w:lang w:val="es-CL" w:eastAsia="es-CL"/>
        </w:rPr>
      </w:pPr>
      <w:r w:rsidRPr="00F02D0D">
        <w:rPr>
          <w:rFonts w:ascii="Aptos" w:eastAsia="Times New Roman" w:hAnsi="Aptos" w:cs="Times New Roman"/>
          <w:b/>
          <w:bCs/>
          <w:lang w:val="es-CL" w:eastAsia="es-CL"/>
        </w:rPr>
        <w:t>Habilidades en Evaluación de Impacto y Riesgo</w:t>
      </w:r>
      <w:r w:rsidRPr="00F02D0D">
        <w:rPr>
          <w:rFonts w:ascii="Aptos" w:eastAsia="Times New Roman" w:hAnsi="Aptos" w:cs="Times New Roman"/>
          <w:lang w:val="es-CL" w:eastAsia="es-CL"/>
        </w:rPr>
        <w:t>: Ser capaz de evaluar el impacto y los riesgos asociados con los incidentes de seguridad, considerando la criticidad de los activos afectados y la potencial repercusión en la organización.</w:t>
      </w:r>
    </w:p>
    <w:p w14:paraId="3800DB5F" w14:textId="523789AB" w:rsidR="00F02D0D" w:rsidRPr="00F02D0D" w:rsidRDefault="00F02D0D" w:rsidP="00F02D0D">
      <w:pPr>
        <w:pStyle w:val="Textoindependiente"/>
        <w:numPr>
          <w:ilvl w:val="0"/>
          <w:numId w:val="49"/>
        </w:numPr>
        <w:spacing w:line="276" w:lineRule="auto"/>
        <w:ind w:right="737"/>
        <w:jc w:val="both"/>
        <w:rPr>
          <w:rFonts w:ascii="Aptos" w:eastAsia="Times New Roman" w:hAnsi="Aptos" w:cs="Times New Roman"/>
          <w:lang w:val="es-CL" w:eastAsia="es-CL"/>
        </w:rPr>
      </w:pPr>
      <w:r w:rsidRPr="00F02D0D">
        <w:rPr>
          <w:rFonts w:ascii="Aptos" w:eastAsia="Times New Roman" w:hAnsi="Aptos" w:cs="Times New Roman"/>
          <w:b/>
          <w:bCs/>
          <w:lang w:val="es-CL" w:eastAsia="es-CL"/>
        </w:rPr>
        <w:t>Conocimientos en Técnicas de Contención y Erradicación</w:t>
      </w:r>
      <w:r w:rsidRPr="00F02D0D">
        <w:rPr>
          <w:rFonts w:ascii="Aptos" w:eastAsia="Times New Roman" w:hAnsi="Aptos" w:cs="Times New Roman"/>
          <w:lang w:val="es-CL" w:eastAsia="es-CL"/>
        </w:rPr>
        <w:t>: Comprender las diversas técnicas y herramientas utilizadas para contener y erradicar incidentes de seguridad de manera eficaz y con el menor impacto posible en las operaciones.</w:t>
      </w:r>
    </w:p>
    <w:p w14:paraId="13EC9A44" w14:textId="7DB72479" w:rsidR="00F02D0D" w:rsidRPr="00F02D0D" w:rsidRDefault="00F02D0D" w:rsidP="00F02D0D">
      <w:pPr>
        <w:pStyle w:val="Textoindependiente"/>
        <w:numPr>
          <w:ilvl w:val="0"/>
          <w:numId w:val="49"/>
        </w:numPr>
        <w:spacing w:line="276" w:lineRule="auto"/>
        <w:ind w:right="737"/>
        <w:jc w:val="both"/>
        <w:rPr>
          <w:rFonts w:ascii="Aptos" w:eastAsia="Times New Roman" w:hAnsi="Aptos" w:cs="Times New Roman"/>
          <w:lang w:val="es-CL" w:eastAsia="es-CL"/>
        </w:rPr>
      </w:pPr>
      <w:r w:rsidRPr="00F02D0D">
        <w:rPr>
          <w:rFonts w:ascii="Aptos" w:eastAsia="Times New Roman" w:hAnsi="Aptos" w:cs="Times New Roman"/>
          <w:b/>
          <w:bCs/>
          <w:lang w:val="es-CL" w:eastAsia="es-CL"/>
        </w:rPr>
        <w:t>Capacidad Analítica para la Investigación de Incidentes</w:t>
      </w:r>
      <w:r w:rsidRPr="00F02D0D">
        <w:rPr>
          <w:rFonts w:ascii="Aptos" w:eastAsia="Times New Roman" w:hAnsi="Aptos" w:cs="Times New Roman"/>
          <w:lang w:val="es-CL" w:eastAsia="es-CL"/>
        </w:rPr>
        <w:t>: Ser capaz de analizar y correlacionar datos de incidentes para identificar la causa raíz, tendencias de ataques, y posibles brechas en las defensas de seguridad.</w:t>
      </w:r>
    </w:p>
    <w:p w14:paraId="76E6D281" w14:textId="509BA304" w:rsidR="00F02D0D" w:rsidRPr="00F02D0D" w:rsidRDefault="00F02D0D" w:rsidP="00F02D0D">
      <w:pPr>
        <w:pStyle w:val="Textoindependiente"/>
        <w:numPr>
          <w:ilvl w:val="0"/>
          <w:numId w:val="49"/>
        </w:numPr>
        <w:spacing w:line="276" w:lineRule="auto"/>
        <w:ind w:right="737"/>
        <w:jc w:val="both"/>
        <w:rPr>
          <w:rFonts w:ascii="Aptos" w:eastAsia="Times New Roman" w:hAnsi="Aptos" w:cs="Times New Roman"/>
          <w:lang w:val="es-CL" w:eastAsia="es-CL"/>
        </w:rPr>
      </w:pPr>
      <w:r w:rsidRPr="00F02D0D">
        <w:rPr>
          <w:rFonts w:ascii="Aptos" w:eastAsia="Times New Roman" w:hAnsi="Aptos" w:cs="Times New Roman"/>
          <w:b/>
          <w:bCs/>
          <w:lang w:val="es-CL" w:eastAsia="es-CL"/>
        </w:rPr>
        <w:t>Habilidades de Comunicación en Situaciones de Crisis</w:t>
      </w:r>
      <w:r w:rsidRPr="00F02D0D">
        <w:rPr>
          <w:rFonts w:ascii="Aptos" w:eastAsia="Times New Roman" w:hAnsi="Aptos" w:cs="Times New Roman"/>
          <w:lang w:val="es-CL" w:eastAsia="es-CL"/>
        </w:rPr>
        <w:t>: Ser capaz de comunicar de manera clara y efectiva durante incidentes de seguridad, tanto a nivel técnico como ejecutivo, garantizando que todos los interesados estén informados y alineados en la respuesta.</w:t>
      </w:r>
    </w:p>
    <w:p w14:paraId="10269AB9" w14:textId="15E48AA6" w:rsidR="00F02D0D" w:rsidRPr="00F02D0D" w:rsidRDefault="00F02D0D" w:rsidP="00F02D0D">
      <w:pPr>
        <w:pStyle w:val="Textoindependiente"/>
        <w:numPr>
          <w:ilvl w:val="0"/>
          <w:numId w:val="49"/>
        </w:numPr>
        <w:spacing w:line="276" w:lineRule="auto"/>
        <w:ind w:right="737"/>
        <w:jc w:val="both"/>
        <w:rPr>
          <w:rFonts w:ascii="Aptos" w:eastAsia="Times New Roman" w:hAnsi="Aptos" w:cs="Times New Roman"/>
          <w:lang w:val="es-CL" w:eastAsia="es-CL"/>
        </w:rPr>
      </w:pPr>
      <w:r w:rsidRPr="00F02D0D">
        <w:rPr>
          <w:rFonts w:ascii="Aptos" w:eastAsia="Times New Roman" w:hAnsi="Aptos" w:cs="Times New Roman"/>
          <w:b/>
          <w:bCs/>
          <w:lang w:val="es-CL" w:eastAsia="es-CL"/>
        </w:rPr>
        <w:t>Conocimiento en Recuperación y Aprendizaje Post-Incidente</w:t>
      </w:r>
      <w:r w:rsidRPr="00F02D0D">
        <w:rPr>
          <w:rFonts w:ascii="Aptos" w:eastAsia="Times New Roman" w:hAnsi="Aptos" w:cs="Times New Roman"/>
          <w:lang w:val="es-CL" w:eastAsia="es-CL"/>
        </w:rPr>
        <w:t>: Entender los procesos de recuperación tras un incidente, incluyendo la restauración de sistemas, la revisión de lecciones aprendidas, y la implementación de mejoras preventivas.</w:t>
      </w:r>
    </w:p>
    <w:p w14:paraId="39C462F3" w14:textId="77777777" w:rsidR="007766F8" w:rsidRPr="00F02D0D" w:rsidRDefault="007766F8" w:rsidP="00F02D0D">
      <w:pPr>
        <w:pStyle w:val="Textoindependiente"/>
        <w:spacing w:line="276" w:lineRule="auto"/>
        <w:ind w:left="757" w:right="737"/>
        <w:jc w:val="both"/>
        <w:rPr>
          <w:rFonts w:ascii="Aptos" w:eastAsia="Times New Roman" w:hAnsi="Aptos" w:cs="Times New Roman"/>
          <w:lang w:val="es-CL" w:eastAsia="es-CL"/>
        </w:rPr>
      </w:pPr>
    </w:p>
    <w:p w14:paraId="470D0200" w14:textId="59129D94" w:rsidR="00B22C8C" w:rsidRPr="00F02D0D" w:rsidRDefault="00B22C8C" w:rsidP="00F02D0D">
      <w:pPr>
        <w:pStyle w:val="Textoindependiente"/>
        <w:numPr>
          <w:ilvl w:val="0"/>
          <w:numId w:val="49"/>
        </w:numPr>
        <w:spacing w:line="276" w:lineRule="auto"/>
        <w:ind w:right="737"/>
        <w:jc w:val="both"/>
        <w:rPr>
          <w:rFonts w:ascii="Aptos" w:eastAsia="Times New Roman" w:hAnsi="Aptos" w:cs="Times New Roman"/>
          <w:lang w:val="es-CL" w:eastAsia="es-CL"/>
        </w:rPr>
      </w:pPr>
      <w:r w:rsidRPr="00F02D0D">
        <w:rPr>
          <w:rFonts w:ascii="Aptos" w:eastAsia="Times New Roman" w:hAnsi="Aptos" w:cs="Times New Roman"/>
          <w:lang w:val="es-CL" w:eastAsia="es-CL"/>
        </w:rPr>
        <w:br w:type="page"/>
      </w:r>
    </w:p>
    <w:p w14:paraId="35D7D7DE" w14:textId="395EE72E" w:rsidR="007766F8" w:rsidRPr="007D390E" w:rsidRDefault="0022448B" w:rsidP="007D390E">
      <w:pPr>
        <w:pStyle w:val="Ttulo1"/>
        <w:numPr>
          <w:ilvl w:val="0"/>
          <w:numId w:val="3"/>
        </w:numPr>
        <w:tabs>
          <w:tab w:val="left" w:pos="587"/>
        </w:tabs>
        <w:spacing w:before="243" w:line="276" w:lineRule="auto"/>
        <w:jc w:val="both"/>
        <w:rPr>
          <w:rFonts w:ascii="Aptos" w:hAnsi="Aptos"/>
        </w:rPr>
      </w:pPr>
      <w:r w:rsidRPr="007D390E">
        <w:rPr>
          <w:rFonts w:ascii="Aptos" w:hAnsi="Aptos"/>
          <w:spacing w:val="-6"/>
        </w:rPr>
        <w:lastRenderedPageBreak/>
        <w:t>Visión</w:t>
      </w:r>
      <w:r w:rsidRPr="007D390E">
        <w:rPr>
          <w:rFonts w:ascii="Aptos" w:hAnsi="Aptos"/>
          <w:spacing w:val="-9"/>
        </w:rPr>
        <w:t xml:space="preserve"> </w:t>
      </w:r>
      <w:r w:rsidRPr="007D390E">
        <w:rPr>
          <w:rFonts w:ascii="Aptos" w:hAnsi="Aptos"/>
          <w:spacing w:val="-5"/>
        </w:rPr>
        <w:t>General</w:t>
      </w:r>
    </w:p>
    <w:p w14:paraId="387D415B" w14:textId="77777777" w:rsidR="00831A84" w:rsidRPr="00165FB0" w:rsidRDefault="00831A84" w:rsidP="007D390E">
      <w:pPr>
        <w:pStyle w:val="Textoindependiente"/>
        <w:pBdr>
          <w:bottom w:val="single" w:sz="4" w:space="1" w:color="auto"/>
        </w:pBdr>
        <w:spacing w:before="2" w:line="276" w:lineRule="auto"/>
        <w:ind w:left="99"/>
        <w:jc w:val="both"/>
        <w:rPr>
          <w:rFonts w:ascii="Aptos" w:hAnsi="Aptos"/>
          <w:b/>
          <w:sz w:val="9"/>
          <w:lang w:val="es-CL"/>
        </w:rPr>
      </w:pPr>
    </w:p>
    <w:p w14:paraId="03519E32" w14:textId="77777777" w:rsidR="0022448B" w:rsidRPr="0022448B" w:rsidRDefault="0022448B" w:rsidP="0022448B">
      <w:pPr>
        <w:widowControl/>
        <w:autoSpaceDE/>
        <w:autoSpaceDN/>
        <w:spacing w:before="100" w:beforeAutospacing="1" w:after="100" w:afterAutospacing="1"/>
        <w:jc w:val="both"/>
        <w:rPr>
          <w:rFonts w:ascii="Aptos" w:hAnsi="Aptos"/>
          <w:sz w:val="28"/>
          <w:szCs w:val="28"/>
          <w:lang w:val="es-CL" w:eastAsia="es-CL"/>
        </w:rPr>
      </w:pPr>
      <w:r w:rsidRPr="0022448B">
        <w:rPr>
          <w:rFonts w:ascii="Aptos" w:hAnsi="Aptos"/>
          <w:sz w:val="28"/>
          <w:szCs w:val="28"/>
          <w:lang w:val="es-CL" w:eastAsia="es-CL"/>
        </w:rPr>
        <w:t>La política y los procedimientos de respuesta a incidentes proporcionan un marco estructurado para gestionar eventos de seguridad, definiendo roles, responsabilidades y acciones necesarias para abordar eficazmente los incidentes. Una política bien definida y procedimientos claros aseguran la consistencia en la gestión de incidentes y el cumplimiento de los objetivos organizacionales. Desde una perspectiva de auditoría, es esencial que estas políticas estén alineadas con los estándares de la organización, se revisen regularmente y se adapten a los cambios en el entorno.</w:t>
      </w:r>
    </w:p>
    <w:p w14:paraId="6D2E9551" w14:textId="77777777" w:rsidR="0022448B" w:rsidRPr="0022448B" w:rsidRDefault="0022448B" w:rsidP="0022448B">
      <w:pPr>
        <w:widowControl/>
        <w:autoSpaceDE/>
        <w:autoSpaceDN/>
        <w:spacing w:before="100" w:beforeAutospacing="1" w:after="100" w:afterAutospacing="1"/>
        <w:jc w:val="both"/>
        <w:rPr>
          <w:rFonts w:ascii="Aptos" w:hAnsi="Aptos"/>
          <w:b/>
          <w:bCs/>
          <w:sz w:val="28"/>
          <w:szCs w:val="28"/>
          <w:lang w:val="es-CL" w:eastAsia="es-CL"/>
        </w:rPr>
      </w:pPr>
      <w:r w:rsidRPr="0022448B">
        <w:rPr>
          <w:rFonts w:ascii="Aptos" w:hAnsi="Aptos"/>
          <w:b/>
          <w:bCs/>
          <w:sz w:val="28"/>
          <w:szCs w:val="28"/>
          <w:lang w:val="es-CL" w:eastAsia="es-CL"/>
        </w:rPr>
        <w:t>1.1 Creación de una Política de Respuesta a Incidentes</w:t>
      </w:r>
    </w:p>
    <w:p w14:paraId="2F232443" w14:textId="77777777" w:rsidR="0022448B" w:rsidRPr="0022448B" w:rsidRDefault="0022448B" w:rsidP="0022448B">
      <w:pPr>
        <w:widowControl/>
        <w:autoSpaceDE/>
        <w:autoSpaceDN/>
        <w:spacing w:before="100" w:beforeAutospacing="1" w:after="100" w:afterAutospacing="1"/>
        <w:jc w:val="both"/>
        <w:rPr>
          <w:rFonts w:ascii="Aptos" w:hAnsi="Aptos"/>
          <w:sz w:val="28"/>
          <w:szCs w:val="28"/>
          <w:lang w:val="es-CL" w:eastAsia="es-CL"/>
        </w:rPr>
      </w:pPr>
      <w:r w:rsidRPr="0022448B">
        <w:rPr>
          <w:rFonts w:ascii="Aptos" w:hAnsi="Aptos"/>
          <w:sz w:val="28"/>
          <w:szCs w:val="28"/>
          <w:lang w:val="es-CL" w:eastAsia="es-CL"/>
        </w:rPr>
        <w:t>La política debe incluir una declaración de compromiso de la dirección, establecer su propósito y objetivos, y definir el alcance al que aplica. También debe especificar qué constituye un incidente de seguridad informática, las estructuras organizacionales, roles y responsabilidades, así como la autoridad del equipo de respuesta a incidentes para actuar. Elementos clave como la priorización de incidentes, medidas de rendimiento, y requisitos para notificar y escalar incidentes deben estar claramente documentados. Desde la perspectiva de auditoría, es fundamental verificar si la política aborda todos estos elementos y si está aprobada por la alta dirección.</w:t>
      </w:r>
    </w:p>
    <w:p w14:paraId="7232F507" w14:textId="77777777" w:rsidR="0022448B" w:rsidRPr="0022448B" w:rsidRDefault="0022448B" w:rsidP="0022448B">
      <w:pPr>
        <w:widowControl/>
        <w:autoSpaceDE/>
        <w:autoSpaceDN/>
        <w:spacing w:before="100" w:beforeAutospacing="1" w:after="100" w:afterAutospacing="1"/>
        <w:jc w:val="both"/>
        <w:rPr>
          <w:rFonts w:ascii="Aptos" w:hAnsi="Aptos"/>
          <w:b/>
          <w:bCs/>
          <w:sz w:val="28"/>
          <w:szCs w:val="28"/>
          <w:lang w:val="es-CL" w:eastAsia="es-CL"/>
        </w:rPr>
      </w:pPr>
      <w:r w:rsidRPr="0022448B">
        <w:rPr>
          <w:rFonts w:ascii="Aptos" w:hAnsi="Aptos"/>
          <w:b/>
          <w:bCs/>
          <w:sz w:val="28"/>
          <w:szCs w:val="28"/>
          <w:lang w:val="es-CL" w:eastAsia="es-CL"/>
        </w:rPr>
        <w:t>1.2 Procesos de Gestión y Respuesta a Incidentes</w:t>
      </w:r>
    </w:p>
    <w:p w14:paraId="27EF13D1" w14:textId="77777777" w:rsidR="0022448B" w:rsidRPr="0022448B" w:rsidRDefault="0022448B" w:rsidP="0022448B">
      <w:pPr>
        <w:widowControl/>
        <w:autoSpaceDE/>
        <w:autoSpaceDN/>
        <w:spacing w:before="100" w:beforeAutospacing="1" w:after="100" w:afterAutospacing="1"/>
        <w:jc w:val="both"/>
        <w:rPr>
          <w:rFonts w:ascii="Aptos" w:hAnsi="Aptos"/>
          <w:sz w:val="28"/>
          <w:szCs w:val="28"/>
          <w:lang w:val="es-CL" w:eastAsia="es-CL"/>
        </w:rPr>
      </w:pPr>
      <w:r w:rsidRPr="0022448B">
        <w:rPr>
          <w:rFonts w:ascii="Aptos" w:hAnsi="Aptos"/>
          <w:sz w:val="28"/>
          <w:szCs w:val="28"/>
          <w:lang w:val="es-CL" w:eastAsia="es-CL"/>
        </w:rPr>
        <w:t>Los procesos establecidos deben incluir un método común para notificar eventos de seguridad, un sistema de triaje y priorización de incidentes, y mecanismos para coordinar con las partes interesadas internas y externas. Además, se deben definir procesos para la evaluación, resolución, escalamiento y aprendizaje a partir de los incidentes. Solo personal capacitado debe gestionar los incidentes, y las necesidades de capacitación y certificación deben ser identificadas y abordadas. Un auditor evaluará si estos procesos están documentados, son consistentes y cumplen con los estándares organizacionales.</w:t>
      </w:r>
    </w:p>
    <w:p w14:paraId="19D7FF96" w14:textId="77777777" w:rsidR="0022448B" w:rsidRPr="0022448B" w:rsidRDefault="0022448B" w:rsidP="0022448B">
      <w:pPr>
        <w:widowControl/>
        <w:autoSpaceDE/>
        <w:autoSpaceDN/>
        <w:spacing w:before="100" w:beforeAutospacing="1" w:after="100" w:afterAutospacing="1"/>
        <w:jc w:val="both"/>
        <w:rPr>
          <w:rFonts w:ascii="Aptos" w:hAnsi="Aptos"/>
          <w:b/>
          <w:bCs/>
          <w:sz w:val="28"/>
          <w:szCs w:val="28"/>
          <w:lang w:val="es-CL" w:eastAsia="es-CL"/>
        </w:rPr>
      </w:pPr>
      <w:r w:rsidRPr="0022448B">
        <w:rPr>
          <w:rFonts w:ascii="Aptos" w:hAnsi="Aptos"/>
          <w:b/>
          <w:bCs/>
          <w:sz w:val="28"/>
          <w:szCs w:val="28"/>
          <w:lang w:val="es-CL" w:eastAsia="es-CL"/>
        </w:rPr>
        <w:t>1.3 Documentación de Procedimientos</w:t>
      </w:r>
    </w:p>
    <w:p w14:paraId="0E74DBFC" w14:textId="77777777" w:rsidR="0022448B" w:rsidRPr="0022448B" w:rsidRDefault="0022448B" w:rsidP="0022448B">
      <w:pPr>
        <w:widowControl/>
        <w:autoSpaceDE/>
        <w:autoSpaceDN/>
        <w:spacing w:before="100" w:beforeAutospacing="1" w:after="100" w:afterAutospacing="1"/>
        <w:jc w:val="both"/>
        <w:rPr>
          <w:rFonts w:ascii="Aptos" w:hAnsi="Aptos"/>
          <w:sz w:val="28"/>
          <w:szCs w:val="28"/>
          <w:lang w:val="es-CL" w:eastAsia="es-CL"/>
        </w:rPr>
      </w:pPr>
      <w:r w:rsidRPr="0022448B">
        <w:rPr>
          <w:rFonts w:ascii="Aptos" w:hAnsi="Aptos"/>
          <w:sz w:val="28"/>
          <w:szCs w:val="28"/>
          <w:lang w:val="es-CL" w:eastAsia="es-CL"/>
        </w:rPr>
        <w:t>Los procedimientos de respuesta deben incluir objetivos específicos acordados con la dirección y detallar los pasos a seguir en caso de incidentes. Esto incluye formularios para la denuncia de incidentes, retroalimentación adecuada para quienes informan eventos, y mecanismos para notificar a reguladores u otras partes externas cuando sea necesario. Un auditor revisará si los procedimientos están alineados con la política, si incluyen medidas específicas para incidentes de seguridad y si se actualizan según lo requerido.</w:t>
      </w:r>
    </w:p>
    <w:p w14:paraId="342818C1" w14:textId="77777777" w:rsidR="0022448B" w:rsidRPr="0022448B" w:rsidRDefault="0022448B" w:rsidP="0022448B">
      <w:pPr>
        <w:widowControl/>
        <w:autoSpaceDE/>
        <w:autoSpaceDN/>
        <w:spacing w:before="100" w:beforeAutospacing="1" w:after="100" w:afterAutospacing="1"/>
        <w:jc w:val="both"/>
        <w:rPr>
          <w:rFonts w:ascii="Aptos" w:hAnsi="Aptos"/>
          <w:b/>
          <w:bCs/>
          <w:sz w:val="28"/>
          <w:szCs w:val="28"/>
          <w:lang w:val="es-CL" w:eastAsia="es-CL"/>
        </w:rPr>
      </w:pPr>
      <w:r w:rsidRPr="0022448B">
        <w:rPr>
          <w:rFonts w:ascii="Aptos" w:hAnsi="Aptos"/>
          <w:b/>
          <w:bCs/>
          <w:sz w:val="28"/>
          <w:szCs w:val="28"/>
          <w:lang w:val="es-CL" w:eastAsia="es-CL"/>
        </w:rPr>
        <w:t>1.4 Revisión y Actualización de Políticas y Procedimientos</w:t>
      </w:r>
    </w:p>
    <w:p w14:paraId="014A8586" w14:textId="77777777" w:rsidR="0022448B" w:rsidRPr="0022448B" w:rsidRDefault="0022448B" w:rsidP="0022448B">
      <w:pPr>
        <w:widowControl/>
        <w:autoSpaceDE/>
        <w:autoSpaceDN/>
        <w:spacing w:before="100" w:beforeAutospacing="1" w:after="100" w:afterAutospacing="1"/>
        <w:jc w:val="both"/>
        <w:rPr>
          <w:rFonts w:ascii="Aptos" w:hAnsi="Aptos"/>
          <w:sz w:val="28"/>
          <w:szCs w:val="28"/>
          <w:lang w:val="es-CL" w:eastAsia="es-CL"/>
        </w:rPr>
      </w:pPr>
      <w:r w:rsidRPr="0022448B">
        <w:rPr>
          <w:rFonts w:ascii="Aptos" w:hAnsi="Aptos"/>
          <w:sz w:val="28"/>
          <w:szCs w:val="28"/>
          <w:lang w:val="es-CL" w:eastAsia="es-CL"/>
        </w:rPr>
        <w:t xml:space="preserve">La política y los procedimientos deben actualizarse periódicamente o después de cambios significativos en el entorno organizacional. Es esencial establecer métricas para evaluar el cumplimiento y la necesidad de ajustes. Estas métricas también permiten identificar brechas en la política y los procedimientos, ya sea a través de eventos específicos o análisis regulares. Desde el punto de vista de </w:t>
      </w:r>
      <w:r w:rsidRPr="0022448B">
        <w:rPr>
          <w:rFonts w:ascii="Aptos" w:hAnsi="Aptos"/>
          <w:sz w:val="28"/>
          <w:szCs w:val="28"/>
          <w:lang w:val="es-CL" w:eastAsia="es-CL"/>
        </w:rPr>
        <w:lastRenderedPageBreak/>
        <w:t>auditoría, se revisará si las actualizaciones se realizan de manera oportuna y si responden a las necesidades de la organización.</w:t>
      </w:r>
    </w:p>
    <w:p w14:paraId="22F11E41" w14:textId="77777777" w:rsidR="0022448B" w:rsidRPr="0022448B" w:rsidRDefault="0022448B" w:rsidP="0022448B">
      <w:pPr>
        <w:widowControl/>
        <w:autoSpaceDE/>
        <w:autoSpaceDN/>
        <w:spacing w:before="100" w:beforeAutospacing="1" w:after="100" w:afterAutospacing="1"/>
        <w:jc w:val="both"/>
        <w:rPr>
          <w:rFonts w:ascii="Aptos" w:hAnsi="Aptos"/>
          <w:b/>
          <w:bCs/>
          <w:sz w:val="28"/>
          <w:szCs w:val="28"/>
          <w:lang w:val="es-CL" w:eastAsia="es-CL"/>
        </w:rPr>
      </w:pPr>
      <w:r w:rsidRPr="0022448B">
        <w:rPr>
          <w:rFonts w:ascii="Aptos" w:hAnsi="Aptos"/>
          <w:b/>
          <w:bCs/>
          <w:sz w:val="28"/>
          <w:szCs w:val="28"/>
          <w:lang w:val="es-CL" w:eastAsia="es-CL"/>
        </w:rPr>
        <w:t>1.5 Medición y Mejora Continua</w:t>
      </w:r>
    </w:p>
    <w:p w14:paraId="17225C6A" w14:textId="77777777" w:rsidR="0022448B" w:rsidRPr="0022448B" w:rsidRDefault="0022448B" w:rsidP="0022448B">
      <w:pPr>
        <w:widowControl/>
        <w:autoSpaceDE/>
        <w:autoSpaceDN/>
        <w:spacing w:before="100" w:beforeAutospacing="1" w:after="100" w:afterAutospacing="1"/>
        <w:jc w:val="both"/>
        <w:rPr>
          <w:rFonts w:ascii="Aptos" w:hAnsi="Aptos"/>
          <w:sz w:val="28"/>
          <w:szCs w:val="28"/>
          <w:lang w:val="es-CL" w:eastAsia="es-CL"/>
        </w:rPr>
      </w:pPr>
      <w:r w:rsidRPr="0022448B">
        <w:rPr>
          <w:rFonts w:ascii="Aptos" w:hAnsi="Aptos"/>
          <w:sz w:val="28"/>
          <w:szCs w:val="28"/>
          <w:lang w:val="es-CL" w:eastAsia="es-CL"/>
        </w:rPr>
        <w:t>La implementación de métricas permite evaluar el desempeño de las políticas y procedimientos de gestión de incidentes, identificar brechas y proponer mejoras. Los hallazgos deben documentarse y utilizarse para ajustar los procesos, fortaleciendo la capacidad de respuesta organizacional. Un auditor verificará si estas métricas son relevantes, se monitorean regularmente y contribuyen a la mejora continua.</w:t>
      </w:r>
    </w:p>
    <w:p w14:paraId="0DD7E839" w14:textId="77777777" w:rsidR="00514093" w:rsidRDefault="00514093" w:rsidP="00434990">
      <w:pPr>
        <w:widowControl/>
        <w:autoSpaceDE/>
        <w:autoSpaceDN/>
        <w:spacing w:before="100" w:beforeAutospacing="1" w:after="100" w:afterAutospacing="1"/>
        <w:jc w:val="both"/>
        <w:rPr>
          <w:rFonts w:ascii="Aptos" w:hAnsi="Aptos"/>
          <w:sz w:val="28"/>
          <w:szCs w:val="28"/>
          <w:lang w:val="es-CL" w:eastAsia="es-CL"/>
        </w:rPr>
      </w:pPr>
    </w:p>
    <w:p w14:paraId="2C28DC9E" w14:textId="78FCE604" w:rsidR="00514093" w:rsidRDefault="00514093" w:rsidP="00514093">
      <w:pPr>
        <w:widowControl/>
        <w:autoSpaceDE/>
        <w:autoSpaceDN/>
        <w:spacing w:before="100" w:beforeAutospacing="1" w:after="100" w:afterAutospacing="1"/>
        <w:jc w:val="both"/>
        <w:rPr>
          <w:rFonts w:ascii="Aptos" w:hAnsi="Aptos"/>
          <w:sz w:val="28"/>
          <w:szCs w:val="28"/>
          <w:lang w:val="es-CL" w:eastAsia="es-CL"/>
        </w:rPr>
      </w:pPr>
      <w:r>
        <w:rPr>
          <w:rFonts w:ascii="Aptos" w:hAnsi="Aptos"/>
          <w:sz w:val="28"/>
          <w:szCs w:val="28"/>
          <w:lang w:val="es-CL" w:eastAsia="es-CL"/>
        </w:rPr>
        <w:br w:type="page"/>
      </w:r>
    </w:p>
    <w:p w14:paraId="191113BA" w14:textId="77777777" w:rsidR="00514093" w:rsidRPr="00470ABB" w:rsidRDefault="00514093" w:rsidP="00514093">
      <w:pPr>
        <w:widowControl/>
        <w:autoSpaceDE/>
        <w:autoSpaceDN/>
        <w:spacing w:before="100" w:beforeAutospacing="1" w:after="100" w:afterAutospacing="1"/>
        <w:jc w:val="both"/>
        <w:rPr>
          <w:rFonts w:ascii="Aptos" w:hAnsi="Aptos"/>
          <w:sz w:val="28"/>
          <w:szCs w:val="28"/>
          <w:lang w:val="es-CL" w:eastAsia="es-CL"/>
        </w:rPr>
        <w:sectPr w:rsidR="00514093" w:rsidRPr="00470ABB" w:rsidSect="00FE6169">
          <w:pgSz w:w="12240" w:h="20160"/>
          <w:pgMar w:top="1400" w:right="1320" w:bottom="880" w:left="1340" w:header="567" w:footer="681" w:gutter="0"/>
          <w:cols w:space="720"/>
          <w:docGrid w:linePitch="299"/>
        </w:sectPr>
      </w:pPr>
    </w:p>
    <w:p w14:paraId="1DD1A9E3" w14:textId="6DD1BACD" w:rsidR="007766F8" w:rsidRPr="007D390E" w:rsidRDefault="0022448B" w:rsidP="007D390E">
      <w:pPr>
        <w:pStyle w:val="Ttulo1"/>
        <w:numPr>
          <w:ilvl w:val="0"/>
          <w:numId w:val="3"/>
        </w:numPr>
        <w:tabs>
          <w:tab w:val="left" w:pos="587"/>
        </w:tabs>
        <w:spacing w:line="276" w:lineRule="auto"/>
        <w:jc w:val="both"/>
        <w:rPr>
          <w:rFonts w:ascii="Aptos" w:hAnsi="Aptos"/>
        </w:rPr>
      </w:pPr>
      <w:r w:rsidRPr="007D390E">
        <w:rPr>
          <w:rFonts w:ascii="Aptos" w:hAnsi="Aptos"/>
          <w:spacing w:val="-5"/>
        </w:rPr>
        <w:lastRenderedPageBreak/>
        <w:t xml:space="preserve">Modelo </w:t>
      </w:r>
      <w:r w:rsidRPr="007D390E">
        <w:rPr>
          <w:rFonts w:ascii="Aptos" w:hAnsi="Aptos"/>
          <w:spacing w:val="-3"/>
        </w:rPr>
        <w:t>de</w:t>
      </w:r>
      <w:r w:rsidRPr="007D390E">
        <w:rPr>
          <w:rFonts w:ascii="Aptos" w:hAnsi="Aptos"/>
          <w:spacing w:val="-13"/>
        </w:rPr>
        <w:t xml:space="preserve"> </w:t>
      </w:r>
      <w:r w:rsidRPr="007D390E">
        <w:rPr>
          <w:rFonts w:ascii="Aptos" w:hAnsi="Aptos"/>
          <w:spacing w:val="-5"/>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5000" w:type="pct"/>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7342"/>
        <w:gridCol w:w="10522"/>
      </w:tblGrid>
      <w:tr w:rsidR="00165FB0" w:rsidRPr="007D390E" w14:paraId="7C2BB19A" w14:textId="77777777" w:rsidTr="00165FB0">
        <w:trPr>
          <w:trHeight w:val="20"/>
        </w:trPr>
        <w:tc>
          <w:tcPr>
            <w:tcW w:w="2055" w:type="pct"/>
            <w:tcBorders>
              <w:bottom w:val="single" w:sz="6" w:space="0" w:color="37342E"/>
            </w:tcBorders>
            <w:shd w:val="clear" w:color="auto" w:fill="002060"/>
          </w:tcPr>
          <w:p w14:paraId="21DF21A5" w14:textId="77777777" w:rsidR="00165FB0" w:rsidRPr="00771396" w:rsidRDefault="00165FB0" w:rsidP="00165FB0">
            <w:pPr>
              <w:pStyle w:val="TableParagraph"/>
              <w:spacing w:line="276" w:lineRule="auto"/>
              <w:ind w:left="113" w:right="113"/>
              <w:jc w:val="both"/>
              <w:rPr>
                <w:rFonts w:ascii="Aptos" w:hAnsi="Aptos"/>
                <w:sz w:val="20"/>
                <w:szCs w:val="20"/>
              </w:rPr>
            </w:pPr>
            <w:r w:rsidRPr="00771396">
              <w:rPr>
                <w:rFonts w:ascii="Aptos" w:hAnsi="Aptos"/>
                <w:sz w:val="20"/>
                <w:szCs w:val="20"/>
              </w:rPr>
              <w:t>NIVEL 1 [Impredecible y reactivo]: La actividad se completa, pero a menudo se retrasa y supera el presupuesto.</w:t>
            </w:r>
          </w:p>
        </w:tc>
        <w:tc>
          <w:tcPr>
            <w:tcW w:w="2945" w:type="pct"/>
          </w:tcPr>
          <w:p w14:paraId="3FF8DD7F" w14:textId="412063DD" w:rsidR="00362B37" w:rsidRPr="00362B37" w:rsidRDefault="00362B37" w:rsidP="00362B37">
            <w:pPr>
              <w:spacing w:line="276" w:lineRule="auto"/>
              <w:ind w:left="227" w:right="227"/>
              <w:rPr>
                <w:rFonts w:ascii="Aptos" w:hAnsi="Aptos"/>
                <w:sz w:val="20"/>
                <w:szCs w:val="20"/>
              </w:rPr>
            </w:pPr>
            <w:r w:rsidRPr="00362B37">
              <w:rPr>
                <w:rFonts w:ascii="Aptos" w:hAnsi="Aptos"/>
                <w:sz w:val="20"/>
                <w:szCs w:val="20"/>
              </w:rPr>
              <w:t>1. Creación de una política de respuesta a incidentes.</w:t>
            </w:r>
          </w:p>
          <w:p w14:paraId="49561938" w14:textId="77777777" w:rsidR="00362B37" w:rsidRPr="00362B37" w:rsidRDefault="00362B37" w:rsidP="00362B37">
            <w:pPr>
              <w:spacing w:line="276" w:lineRule="auto"/>
              <w:ind w:left="227" w:right="227"/>
              <w:rPr>
                <w:rFonts w:ascii="Aptos" w:hAnsi="Aptos"/>
                <w:sz w:val="20"/>
                <w:szCs w:val="20"/>
              </w:rPr>
            </w:pPr>
            <w:r w:rsidRPr="00362B37">
              <w:rPr>
                <w:rFonts w:ascii="Aptos" w:hAnsi="Aptos"/>
                <w:sz w:val="20"/>
                <w:szCs w:val="20"/>
              </w:rPr>
              <w:t>2. La organización debe establecer procesos adecuados de gestión de incidentes de seguridad de la información. Se debe tener en cuenta lo siguiente:</w:t>
            </w:r>
          </w:p>
          <w:p w14:paraId="07124925" w14:textId="6EA7487A" w:rsidR="00362B37" w:rsidRPr="00362B37" w:rsidRDefault="00362B37" w:rsidP="00362B37">
            <w:pPr>
              <w:spacing w:line="276" w:lineRule="auto"/>
              <w:ind w:left="227" w:right="227"/>
              <w:rPr>
                <w:rFonts w:ascii="Aptos" w:hAnsi="Aptos"/>
                <w:sz w:val="20"/>
                <w:szCs w:val="20"/>
              </w:rPr>
            </w:pPr>
            <w:r>
              <w:rPr>
                <w:rFonts w:ascii="Aptos" w:hAnsi="Aptos"/>
                <w:sz w:val="20"/>
                <w:szCs w:val="20"/>
              </w:rPr>
              <w:t xml:space="preserve">    </w:t>
            </w:r>
            <w:r w:rsidRPr="00362B37">
              <w:rPr>
                <w:rFonts w:ascii="Aptos" w:hAnsi="Aptos"/>
                <w:sz w:val="20"/>
                <w:szCs w:val="20"/>
              </w:rPr>
              <w:t>2.1 Establecer un método común para notificar eventos de seguridad de la información, incluido el punto de contacto;</w:t>
            </w:r>
          </w:p>
          <w:p w14:paraId="638CD513" w14:textId="1BB0056D" w:rsidR="00362B37" w:rsidRPr="00362B37" w:rsidRDefault="00362B37" w:rsidP="00362B37">
            <w:pPr>
              <w:spacing w:line="276" w:lineRule="auto"/>
              <w:ind w:left="227" w:right="227"/>
              <w:rPr>
                <w:rFonts w:ascii="Aptos" w:hAnsi="Aptos"/>
                <w:sz w:val="20"/>
                <w:szCs w:val="20"/>
              </w:rPr>
            </w:pPr>
            <w:r>
              <w:rPr>
                <w:rFonts w:ascii="Aptos" w:hAnsi="Aptos"/>
                <w:sz w:val="20"/>
                <w:szCs w:val="20"/>
              </w:rPr>
              <w:t xml:space="preserve">    </w:t>
            </w:r>
            <w:r w:rsidRPr="00362B37">
              <w:rPr>
                <w:rFonts w:ascii="Aptos" w:hAnsi="Aptos"/>
                <w:sz w:val="20"/>
                <w:szCs w:val="20"/>
              </w:rPr>
              <w:t>2.2 Establecer un proceso de gestión de incidentes para proporcionar a la organización la capacidad de gestión de incidentes de seguridad de la información, incluida la administración, documentación, detección, triaje, priorización, análisis, comunicación y coordinación de las partes interesadas;</w:t>
            </w:r>
          </w:p>
          <w:p w14:paraId="2CD7226E" w14:textId="4ACCDDF8" w:rsidR="00362B37" w:rsidRPr="00362B37" w:rsidRDefault="00362B37" w:rsidP="00362B37">
            <w:pPr>
              <w:spacing w:line="276" w:lineRule="auto"/>
              <w:ind w:left="227" w:right="227"/>
              <w:rPr>
                <w:rFonts w:ascii="Aptos" w:hAnsi="Aptos"/>
                <w:sz w:val="20"/>
                <w:szCs w:val="20"/>
              </w:rPr>
            </w:pPr>
            <w:r>
              <w:rPr>
                <w:rFonts w:ascii="Aptos" w:hAnsi="Aptos"/>
                <w:sz w:val="20"/>
                <w:szCs w:val="20"/>
              </w:rPr>
              <w:t xml:space="preserve">    </w:t>
            </w:r>
            <w:r w:rsidRPr="00362B37">
              <w:rPr>
                <w:rFonts w:ascii="Aptos" w:hAnsi="Aptos"/>
                <w:sz w:val="20"/>
                <w:szCs w:val="20"/>
              </w:rPr>
              <w:t>2.3 Establecer un proceso de respuesta a incidentes para proporcionar a la organización la capacidad de evaluar, responder a los incidentes de seguridad de la información y aprender de ellos;</w:t>
            </w:r>
          </w:p>
          <w:p w14:paraId="69308A58" w14:textId="306C55DA" w:rsidR="00362B37" w:rsidRPr="00362B37" w:rsidRDefault="00362B37" w:rsidP="00362B37">
            <w:pPr>
              <w:spacing w:line="276" w:lineRule="auto"/>
              <w:ind w:left="227" w:right="227"/>
              <w:rPr>
                <w:rFonts w:ascii="Aptos" w:hAnsi="Aptos"/>
                <w:sz w:val="20"/>
                <w:szCs w:val="20"/>
              </w:rPr>
            </w:pPr>
            <w:r>
              <w:rPr>
                <w:rFonts w:ascii="Aptos" w:hAnsi="Aptos"/>
                <w:sz w:val="20"/>
                <w:szCs w:val="20"/>
              </w:rPr>
              <w:t xml:space="preserve">    </w:t>
            </w:r>
            <w:r w:rsidRPr="00362B37">
              <w:rPr>
                <w:rFonts w:ascii="Aptos" w:hAnsi="Aptos"/>
                <w:sz w:val="20"/>
                <w:szCs w:val="20"/>
              </w:rPr>
              <w:t>2.4 Permitir únicamente que el personal competente maneje los problemas relacionados con los incidentes de seguridad de la información dentro de la organización;</w:t>
            </w:r>
          </w:p>
          <w:p w14:paraId="32F165A0" w14:textId="47264F1B" w:rsidR="00362B37" w:rsidRPr="00362B37" w:rsidRDefault="00362B37" w:rsidP="00362B37">
            <w:pPr>
              <w:spacing w:line="276" w:lineRule="auto"/>
              <w:ind w:left="227" w:right="227"/>
              <w:rPr>
                <w:rFonts w:ascii="Aptos" w:hAnsi="Aptos"/>
                <w:sz w:val="20"/>
                <w:szCs w:val="20"/>
              </w:rPr>
            </w:pPr>
            <w:r>
              <w:rPr>
                <w:rFonts w:ascii="Aptos" w:hAnsi="Aptos"/>
                <w:sz w:val="20"/>
                <w:szCs w:val="20"/>
              </w:rPr>
              <w:t xml:space="preserve">    </w:t>
            </w:r>
            <w:r w:rsidRPr="00362B37">
              <w:rPr>
                <w:rFonts w:ascii="Aptos" w:hAnsi="Aptos"/>
                <w:sz w:val="20"/>
                <w:szCs w:val="20"/>
              </w:rPr>
              <w:t xml:space="preserve">2.5 Establecer un proceso para identificar la capacitación, la certificación y la formación profesional continua requeridas. </w:t>
            </w:r>
          </w:p>
          <w:p w14:paraId="7EC1C322" w14:textId="50B555D3" w:rsidR="00362B37" w:rsidRPr="00362B37" w:rsidRDefault="00362B37" w:rsidP="00362B37">
            <w:pPr>
              <w:spacing w:line="276" w:lineRule="auto"/>
              <w:ind w:left="227" w:right="227"/>
              <w:rPr>
                <w:rFonts w:ascii="Aptos" w:hAnsi="Aptos"/>
                <w:sz w:val="20"/>
                <w:szCs w:val="20"/>
              </w:rPr>
            </w:pPr>
            <w:r w:rsidRPr="00362B37">
              <w:rPr>
                <w:rFonts w:ascii="Aptos" w:hAnsi="Aptos"/>
                <w:sz w:val="20"/>
                <w:szCs w:val="20"/>
              </w:rPr>
              <w:t>3. Documentar los procedimientos de respuesta de incidentes. Este debe incluir los objetivos de la gestión de incidentes de seguridad de la información, los cuales deben ser acordados con la dirección.</w:t>
            </w:r>
          </w:p>
          <w:p w14:paraId="081A834C" w14:textId="327A5405" w:rsidR="00165FB0" w:rsidRPr="00362B37" w:rsidRDefault="00362B37" w:rsidP="00362B37">
            <w:pPr>
              <w:spacing w:line="276" w:lineRule="auto"/>
              <w:ind w:left="227" w:right="227"/>
              <w:rPr>
                <w:rFonts w:ascii="Aptos" w:hAnsi="Aptos"/>
                <w:sz w:val="20"/>
                <w:szCs w:val="20"/>
              </w:rPr>
            </w:pPr>
            <w:r w:rsidRPr="00362B37">
              <w:rPr>
                <w:rFonts w:ascii="Aptos" w:hAnsi="Aptos"/>
                <w:sz w:val="20"/>
                <w:szCs w:val="20"/>
              </w:rPr>
              <w:t>4. Debe garantizarse que los responsables de la gestión de incidentes de seguridad de la información comprendan Las prioridades de la organización para manejar los incidentes de seguridad de la información, incluido el tiempo de resolución en función de las posibles consecuencias y gravedad. "</w:t>
            </w:r>
          </w:p>
        </w:tc>
      </w:tr>
      <w:tr w:rsidR="00165FB0" w:rsidRPr="007D390E" w14:paraId="16963CE5" w14:textId="77777777" w:rsidTr="00165FB0">
        <w:trPr>
          <w:trHeight w:val="20"/>
        </w:trPr>
        <w:tc>
          <w:tcPr>
            <w:tcW w:w="2055" w:type="pct"/>
            <w:tcBorders>
              <w:bottom w:val="single" w:sz="6" w:space="0" w:color="37342E"/>
            </w:tcBorders>
            <w:shd w:val="clear" w:color="auto" w:fill="002060"/>
          </w:tcPr>
          <w:p w14:paraId="33496D96" w14:textId="77777777" w:rsidR="00165FB0" w:rsidRPr="00771396" w:rsidRDefault="00165FB0" w:rsidP="00165FB0">
            <w:pPr>
              <w:pStyle w:val="TableParagraph"/>
              <w:spacing w:line="276" w:lineRule="auto"/>
              <w:ind w:left="113" w:right="113"/>
              <w:jc w:val="both"/>
              <w:rPr>
                <w:rFonts w:ascii="Aptos" w:hAnsi="Aptos"/>
                <w:sz w:val="20"/>
                <w:szCs w:val="20"/>
              </w:rPr>
            </w:pPr>
            <w:r w:rsidRPr="00771396">
              <w:rPr>
                <w:rFonts w:ascii="Aptos" w:hAnsi="Aptos"/>
                <w:sz w:val="20"/>
                <w:szCs w:val="20"/>
              </w:rPr>
              <w:t>NIVEL 2 [Gestionado a nivel de proceso]: Las actividades se planifican, ejecutan, miden y controlan.</w:t>
            </w:r>
          </w:p>
        </w:tc>
        <w:tc>
          <w:tcPr>
            <w:tcW w:w="2945" w:type="pct"/>
          </w:tcPr>
          <w:p w14:paraId="02306B6F" w14:textId="55242502" w:rsidR="00165FB0" w:rsidRPr="00362B37" w:rsidRDefault="00362B37" w:rsidP="00362B37">
            <w:pPr>
              <w:spacing w:line="276" w:lineRule="auto"/>
              <w:ind w:left="227" w:right="227"/>
              <w:rPr>
                <w:rFonts w:ascii="Aptos" w:hAnsi="Aptos"/>
                <w:sz w:val="20"/>
                <w:szCs w:val="20"/>
              </w:rPr>
            </w:pPr>
            <w:r w:rsidRPr="00362B37">
              <w:rPr>
                <w:rFonts w:ascii="Aptos" w:hAnsi="Aptos"/>
                <w:sz w:val="20"/>
                <w:szCs w:val="20"/>
              </w:rPr>
              <w:t xml:space="preserve">1. Las políticas deben incluir elementos clave: </w:t>
            </w:r>
            <w:r w:rsidRPr="00362B37">
              <w:rPr>
                <w:rFonts w:ascii="Aptos" w:hAnsi="Aptos"/>
                <w:sz w:val="20"/>
                <w:szCs w:val="20"/>
              </w:rPr>
              <w:br/>
            </w:r>
            <w:r>
              <w:rPr>
                <w:rFonts w:ascii="Aptos" w:hAnsi="Aptos"/>
                <w:sz w:val="20"/>
                <w:szCs w:val="20"/>
              </w:rPr>
              <w:t xml:space="preserve">    </w:t>
            </w:r>
            <w:r w:rsidRPr="00362B37">
              <w:rPr>
                <w:rFonts w:ascii="Aptos" w:hAnsi="Aptos"/>
                <w:sz w:val="20"/>
                <w:szCs w:val="20"/>
              </w:rPr>
              <w:t xml:space="preserve">1.1 Declaración de compromiso de la dirección </w:t>
            </w:r>
            <w:r w:rsidRPr="00362B37">
              <w:rPr>
                <w:rFonts w:ascii="Aptos" w:hAnsi="Aptos"/>
                <w:sz w:val="20"/>
                <w:szCs w:val="20"/>
              </w:rPr>
              <w:br/>
            </w:r>
            <w:r>
              <w:rPr>
                <w:rFonts w:ascii="Aptos" w:hAnsi="Aptos"/>
                <w:sz w:val="20"/>
                <w:szCs w:val="20"/>
              </w:rPr>
              <w:t xml:space="preserve">    </w:t>
            </w:r>
            <w:r w:rsidRPr="00362B37">
              <w:rPr>
                <w:rFonts w:ascii="Aptos" w:hAnsi="Aptos"/>
                <w:sz w:val="20"/>
                <w:szCs w:val="20"/>
              </w:rPr>
              <w:t xml:space="preserve">1.2 Finalidad y objetivos de la política </w:t>
            </w:r>
            <w:r w:rsidRPr="00362B37">
              <w:rPr>
                <w:rFonts w:ascii="Aptos" w:hAnsi="Aptos"/>
                <w:sz w:val="20"/>
                <w:szCs w:val="20"/>
              </w:rPr>
              <w:br/>
            </w:r>
            <w:r>
              <w:rPr>
                <w:rFonts w:ascii="Aptos" w:hAnsi="Aptos"/>
                <w:sz w:val="20"/>
                <w:szCs w:val="20"/>
              </w:rPr>
              <w:t xml:space="preserve">    </w:t>
            </w:r>
            <w:r w:rsidRPr="00362B37">
              <w:rPr>
                <w:rFonts w:ascii="Aptos" w:hAnsi="Aptos"/>
                <w:sz w:val="20"/>
                <w:szCs w:val="20"/>
              </w:rPr>
              <w:t xml:space="preserve">1.3 Alcance de la política (a quién, qué se aplica y en qué circunstancias) </w:t>
            </w:r>
            <w:r w:rsidRPr="00362B37">
              <w:rPr>
                <w:rFonts w:ascii="Aptos" w:hAnsi="Aptos"/>
                <w:sz w:val="20"/>
                <w:szCs w:val="20"/>
              </w:rPr>
              <w:br/>
            </w:r>
            <w:r>
              <w:rPr>
                <w:rFonts w:ascii="Aptos" w:hAnsi="Aptos"/>
                <w:sz w:val="20"/>
                <w:szCs w:val="20"/>
              </w:rPr>
              <w:t xml:space="preserve">    </w:t>
            </w:r>
            <w:r w:rsidRPr="00362B37">
              <w:rPr>
                <w:rFonts w:ascii="Aptos" w:hAnsi="Aptos"/>
                <w:sz w:val="20"/>
                <w:szCs w:val="20"/>
              </w:rPr>
              <w:t xml:space="preserve">1.4 Definición de incidentes de seguridad informática y términos relacionados </w:t>
            </w:r>
            <w:r w:rsidRPr="00362B37">
              <w:rPr>
                <w:rFonts w:ascii="Aptos" w:hAnsi="Aptos"/>
                <w:sz w:val="20"/>
                <w:szCs w:val="20"/>
              </w:rPr>
              <w:br/>
            </w:r>
            <w:r>
              <w:rPr>
                <w:rFonts w:ascii="Aptos" w:hAnsi="Aptos"/>
                <w:sz w:val="20"/>
                <w:szCs w:val="20"/>
              </w:rPr>
              <w:t xml:space="preserve">    </w:t>
            </w:r>
            <w:r w:rsidRPr="00362B37">
              <w:rPr>
                <w:rFonts w:ascii="Aptos" w:hAnsi="Aptos"/>
                <w:sz w:val="20"/>
                <w:szCs w:val="20"/>
              </w:rPr>
              <w:t xml:space="preserve">1.5 Estructura organizacional y definición de roles, responsabilidades y niveles de autoridad; </w:t>
            </w:r>
            <w:r w:rsidRPr="00362B37">
              <w:rPr>
                <w:rFonts w:ascii="Aptos" w:hAnsi="Aptos"/>
                <w:sz w:val="20"/>
                <w:szCs w:val="20"/>
              </w:rPr>
              <w:br/>
            </w:r>
            <w:r>
              <w:rPr>
                <w:rFonts w:ascii="Aptos" w:hAnsi="Aptos"/>
                <w:sz w:val="20"/>
                <w:szCs w:val="20"/>
              </w:rPr>
              <w:t xml:space="preserve">    </w:t>
            </w:r>
            <w:r w:rsidRPr="00362B37">
              <w:rPr>
                <w:rFonts w:ascii="Aptos" w:hAnsi="Aptos"/>
                <w:sz w:val="20"/>
                <w:szCs w:val="20"/>
              </w:rPr>
              <w:t>1.6 La autoridad del equipo de respuesta a incidentes para confiscar o desconectar el equipo y actividades sospechosas, los requisitos para notificar determinados tipos de incidentes, los requisitos y directrices para las comunicaciones externas y el intercambio de información (por ejemplo, qué se puede compartir con quién, cuándo y a través de qué canales), y los puntos de entrega y escalada en el incidente</w:t>
            </w:r>
            <w:r>
              <w:rPr>
                <w:rFonts w:ascii="Aptos" w:hAnsi="Aptos"/>
                <w:sz w:val="20"/>
                <w:szCs w:val="20"/>
              </w:rPr>
              <w:t>.</w:t>
            </w:r>
            <w:r w:rsidRPr="00362B37">
              <w:rPr>
                <w:rFonts w:ascii="Aptos" w:hAnsi="Aptos"/>
                <w:sz w:val="20"/>
                <w:szCs w:val="20"/>
              </w:rPr>
              <w:br/>
            </w:r>
            <w:r>
              <w:rPr>
                <w:rFonts w:ascii="Aptos" w:hAnsi="Aptos"/>
                <w:sz w:val="20"/>
                <w:szCs w:val="20"/>
              </w:rPr>
              <w:t xml:space="preserve">    </w:t>
            </w:r>
            <w:r w:rsidRPr="00362B37">
              <w:rPr>
                <w:rFonts w:ascii="Aptos" w:hAnsi="Aptos"/>
                <w:sz w:val="20"/>
                <w:szCs w:val="20"/>
              </w:rPr>
              <w:t>1.</w:t>
            </w:r>
            <w:r>
              <w:rPr>
                <w:rFonts w:ascii="Aptos" w:hAnsi="Aptos"/>
                <w:sz w:val="20"/>
                <w:szCs w:val="20"/>
              </w:rPr>
              <w:t>7</w:t>
            </w:r>
            <w:r w:rsidRPr="00362B37">
              <w:rPr>
                <w:rFonts w:ascii="Aptos" w:hAnsi="Aptos"/>
                <w:sz w:val="20"/>
                <w:szCs w:val="20"/>
              </w:rPr>
              <w:t xml:space="preserve"> Priorización o calificaciones de gravedad de incidentes </w:t>
            </w:r>
            <w:r w:rsidRPr="00362B37">
              <w:rPr>
                <w:rFonts w:ascii="Aptos" w:hAnsi="Aptos"/>
                <w:sz w:val="20"/>
                <w:szCs w:val="20"/>
              </w:rPr>
              <w:br/>
            </w:r>
            <w:r>
              <w:rPr>
                <w:rFonts w:ascii="Aptos" w:hAnsi="Aptos"/>
                <w:sz w:val="20"/>
                <w:szCs w:val="20"/>
              </w:rPr>
              <w:lastRenderedPageBreak/>
              <w:t xml:space="preserve">    </w:t>
            </w:r>
            <w:r w:rsidRPr="00362B37">
              <w:rPr>
                <w:rFonts w:ascii="Aptos" w:hAnsi="Aptos"/>
                <w:sz w:val="20"/>
                <w:szCs w:val="20"/>
              </w:rPr>
              <w:t>1.</w:t>
            </w:r>
            <w:r>
              <w:rPr>
                <w:rFonts w:ascii="Aptos" w:hAnsi="Aptos"/>
                <w:sz w:val="20"/>
                <w:szCs w:val="20"/>
              </w:rPr>
              <w:t>8</w:t>
            </w:r>
            <w:r w:rsidRPr="00362B37">
              <w:rPr>
                <w:rFonts w:ascii="Aptos" w:hAnsi="Aptos"/>
                <w:sz w:val="20"/>
                <w:szCs w:val="20"/>
              </w:rPr>
              <w:t xml:space="preserve"> Medidas de rendimiento (como se explica en la sección 3.4.2) </w:t>
            </w:r>
            <w:r w:rsidRPr="00362B37">
              <w:rPr>
                <w:rFonts w:ascii="Aptos" w:hAnsi="Aptos"/>
                <w:sz w:val="20"/>
                <w:szCs w:val="20"/>
              </w:rPr>
              <w:br/>
            </w:r>
            <w:r>
              <w:rPr>
                <w:rFonts w:ascii="Aptos" w:hAnsi="Aptos"/>
                <w:sz w:val="20"/>
                <w:szCs w:val="20"/>
              </w:rPr>
              <w:t xml:space="preserve">    </w:t>
            </w:r>
            <w:r w:rsidRPr="00362B37">
              <w:rPr>
                <w:rFonts w:ascii="Aptos" w:hAnsi="Aptos"/>
                <w:sz w:val="20"/>
                <w:szCs w:val="20"/>
              </w:rPr>
              <w:t>1.</w:t>
            </w:r>
            <w:r>
              <w:rPr>
                <w:rFonts w:ascii="Aptos" w:hAnsi="Aptos"/>
                <w:sz w:val="20"/>
                <w:szCs w:val="20"/>
              </w:rPr>
              <w:t>9</w:t>
            </w:r>
            <w:r w:rsidRPr="00362B37">
              <w:rPr>
                <w:rFonts w:ascii="Aptos" w:hAnsi="Aptos"/>
                <w:sz w:val="20"/>
                <w:szCs w:val="20"/>
              </w:rPr>
              <w:t xml:space="preserve"> Formularios de denuncia y contacto.</w:t>
            </w:r>
            <w:r w:rsidRPr="00362B37">
              <w:rPr>
                <w:rFonts w:ascii="Aptos" w:hAnsi="Aptos"/>
                <w:sz w:val="20"/>
                <w:szCs w:val="20"/>
              </w:rPr>
              <w:br/>
              <w:t xml:space="preserve"> 2. Los procedimientos de presentación de informes deben incluir: </w:t>
            </w:r>
            <w:r w:rsidRPr="00362B37">
              <w:rPr>
                <w:rFonts w:ascii="Aptos" w:hAnsi="Aptos"/>
                <w:sz w:val="20"/>
                <w:szCs w:val="20"/>
              </w:rPr>
              <w:br/>
            </w:r>
            <w:r>
              <w:rPr>
                <w:rFonts w:ascii="Aptos" w:hAnsi="Aptos"/>
                <w:sz w:val="20"/>
                <w:szCs w:val="20"/>
              </w:rPr>
              <w:t xml:space="preserve">    </w:t>
            </w:r>
            <w:r w:rsidRPr="00362B37">
              <w:rPr>
                <w:rFonts w:ascii="Aptos" w:hAnsi="Aptos"/>
                <w:sz w:val="20"/>
                <w:szCs w:val="20"/>
              </w:rPr>
              <w:t xml:space="preserve"> 2.1 Las medidas que deben adoptarse en caso de que se produzca un evento de seguridad de la información (por ejemplo, anotar todos los detalles pertinentes; como el mal funcionamiento que se produce y los mensajes en la pantalla, informando inmediatamente al punto de contacto y solo tomar acciones coordinadas).</w:t>
            </w:r>
            <w:r w:rsidRPr="00362B37">
              <w:rPr>
                <w:rFonts w:ascii="Aptos" w:hAnsi="Aptos"/>
                <w:sz w:val="20"/>
                <w:szCs w:val="20"/>
              </w:rPr>
              <w:br/>
            </w:r>
            <w:r>
              <w:rPr>
                <w:rFonts w:ascii="Aptos" w:hAnsi="Aptos"/>
                <w:sz w:val="20"/>
                <w:szCs w:val="20"/>
              </w:rPr>
              <w:t xml:space="preserve">    </w:t>
            </w:r>
            <w:r w:rsidRPr="00362B37">
              <w:rPr>
                <w:rFonts w:ascii="Aptos" w:hAnsi="Aptos"/>
                <w:sz w:val="20"/>
                <w:szCs w:val="20"/>
              </w:rPr>
              <w:t>2.2 Uso de formularios de incidentes para apoyar al personal a realizar todas las acciones necesarias al informar incidentes de seguridad de la información.</w:t>
            </w:r>
            <w:r w:rsidRPr="00362B37">
              <w:rPr>
                <w:rFonts w:ascii="Aptos" w:hAnsi="Aptos"/>
                <w:sz w:val="20"/>
                <w:szCs w:val="20"/>
              </w:rPr>
              <w:br/>
            </w:r>
            <w:r>
              <w:rPr>
                <w:rFonts w:ascii="Aptos" w:hAnsi="Aptos"/>
                <w:sz w:val="20"/>
                <w:szCs w:val="20"/>
              </w:rPr>
              <w:t xml:space="preserve">    </w:t>
            </w:r>
            <w:r w:rsidRPr="00362B37">
              <w:rPr>
                <w:rFonts w:ascii="Aptos" w:hAnsi="Aptos"/>
                <w:sz w:val="20"/>
                <w:szCs w:val="20"/>
              </w:rPr>
              <w:t>2.3 Procesos de retroalimentación adecuados para garantizar que las personas que informan sobre eventos de seguridad de la información notificado, en la medida de lo posible, de los resultados después de que se haya abordado y cerrado el problema.</w:t>
            </w:r>
            <w:r w:rsidRPr="00362B37">
              <w:rPr>
                <w:rFonts w:ascii="Aptos" w:hAnsi="Aptos"/>
                <w:sz w:val="20"/>
                <w:szCs w:val="20"/>
              </w:rPr>
              <w:br/>
            </w:r>
            <w:r>
              <w:rPr>
                <w:rFonts w:ascii="Aptos" w:hAnsi="Aptos"/>
                <w:sz w:val="20"/>
                <w:szCs w:val="20"/>
              </w:rPr>
              <w:t xml:space="preserve">    </w:t>
            </w:r>
            <w:r w:rsidRPr="00362B37">
              <w:rPr>
                <w:rFonts w:ascii="Aptos" w:hAnsi="Aptos"/>
                <w:sz w:val="20"/>
                <w:szCs w:val="20"/>
              </w:rPr>
              <w:t xml:space="preserve">2.4 Elaboración de partes de incidencias. </w:t>
            </w:r>
            <w:r w:rsidRPr="00362B37">
              <w:rPr>
                <w:rFonts w:ascii="Aptos" w:hAnsi="Aptos"/>
                <w:sz w:val="20"/>
                <w:szCs w:val="20"/>
              </w:rPr>
              <w:br/>
            </w:r>
            <w:r>
              <w:rPr>
                <w:rFonts w:ascii="Aptos" w:hAnsi="Aptos"/>
                <w:sz w:val="20"/>
                <w:szCs w:val="20"/>
              </w:rPr>
              <w:t xml:space="preserve">    </w:t>
            </w:r>
            <w:r w:rsidRPr="00362B37">
              <w:rPr>
                <w:rFonts w:ascii="Aptos" w:hAnsi="Aptos"/>
                <w:sz w:val="20"/>
                <w:szCs w:val="20"/>
              </w:rPr>
              <w:t>2.5 Cualquier requisito externo sobre la notificación de incidentes a las partes interesadas pertinentes dentro de la (por ejemplo, requisitos de notificación de infracciones a los reguladores).</w:t>
            </w:r>
            <w:r w:rsidRPr="00362B37">
              <w:rPr>
                <w:rFonts w:ascii="Aptos" w:hAnsi="Aptos"/>
                <w:sz w:val="20"/>
                <w:szCs w:val="20"/>
              </w:rPr>
              <w:br/>
            </w:r>
            <w:r>
              <w:rPr>
                <w:rFonts w:ascii="Aptos" w:hAnsi="Aptos"/>
                <w:sz w:val="20"/>
                <w:szCs w:val="20"/>
              </w:rPr>
              <w:t xml:space="preserve">    </w:t>
            </w:r>
            <w:r w:rsidRPr="00362B37">
              <w:rPr>
                <w:rFonts w:ascii="Aptos" w:hAnsi="Aptos"/>
                <w:sz w:val="20"/>
                <w:szCs w:val="20"/>
              </w:rPr>
              <w:t>2.6 Implementación de procedimientos de gestión de incidencias.</w:t>
            </w:r>
          </w:p>
        </w:tc>
      </w:tr>
      <w:tr w:rsidR="00165FB0" w:rsidRPr="007D390E" w14:paraId="28F7B9CD" w14:textId="77777777" w:rsidTr="00165FB0">
        <w:trPr>
          <w:trHeight w:val="20"/>
        </w:trPr>
        <w:tc>
          <w:tcPr>
            <w:tcW w:w="2055" w:type="pct"/>
            <w:tcBorders>
              <w:bottom w:val="single" w:sz="6" w:space="0" w:color="37342E"/>
              <w:right w:val="single" w:sz="8" w:space="0" w:color="37342E"/>
            </w:tcBorders>
            <w:shd w:val="clear" w:color="auto" w:fill="002060"/>
          </w:tcPr>
          <w:p w14:paraId="1CAAE02F" w14:textId="63241773" w:rsidR="00165FB0" w:rsidRPr="00771396" w:rsidRDefault="00165FB0" w:rsidP="00165FB0">
            <w:pPr>
              <w:pStyle w:val="TableParagraph"/>
              <w:spacing w:line="276" w:lineRule="auto"/>
              <w:ind w:left="113" w:right="113"/>
              <w:jc w:val="both"/>
              <w:rPr>
                <w:rFonts w:ascii="Aptos" w:hAnsi="Aptos"/>
                <w:sz w:val="20"/>
                <w:szCs w:val="20"/>
              </w:rPr>
            </w:pPr>
            <w:r w:rsidRPr="00771396">
              <w:rPr>
                <w:rFonts w:ascii="Aptos" w:hAnsi="Aptos"/>
                <w:sz w:val="20"/>
                <w:szCs w:val="20"/>
              </w:rPr>
              <w:lastRenderedPageBreak/>
              <w:t>NIVEL 3 [Proactivo antes que reactivo]: Los estándares de toda la organización brindan orientación a través de proyectos, programas y carteras.</w:t>
            </w:r>
          </w:p>
        </w:tc>
        <w:tc>
          <w:tcPr>
            <w:tcW w:w="2945" w:type="pct"/>
            <w:tcBorders>
              <w:left w:val="single" w:sz="8" w:space="0" w:color="37342E"/>
              <w:right w:val="single" w:sz="8" w:space="0" w:color="37342E"/>
            </w:tcBorders>
          </w:tcPr>
          <w:p w14:paraId="62671E06" w14:textId="5FA92867" w:rsidR="00165FB0" w:rsidRPr="00362B37" w:rsidRDefault="00A40FA0" w:rsidP="00165FB0">
            <w:pPr>
              <w:spacing w:line="276" w:lineRule="auto"/>
              <w:ind w:left="113" w:right="113"/>
              <w:rPr>
                <w:rFonts w:ascii="Aptos" w:hAnsi="Aptos"/>
                <w:sz w:val="20"/>
                <w:szCs w:val="20"/>
              </w:rPr>
            </w:pPr>
            <w:r>
              <w:rPr>
                <w:rFonts w:ascii="Aptos" w:hAnsi="Aptos"/>
                <w:sz w:val="20"/>
                <w:szCs w:val="20"/>
              </w:rPr>
              <w:t>1. Actualizar política y procedimientos periódicamente o después de un cambio en el entorno que lo requiera.</w:t>
            </w:r>
          </w:p>
        </w:tc>
      </w:tr>
      <w:tr w:rsidR="00165FB0" w:rsidRPr="007D390E" w14:paraId="50C38DC5" w14:textId="77777777" w:rsidTr="00165FB0">
        <w:trPr>
          <w:trHeight w:val="20"/>
        </w:trPr>
        <w:tc>
          <w:tcPr>
            <w:tcW w:w="2055" w:type="pct"/>
            <w:tcBorders>
              <w:bottom w:val="single" w:sz="6" w:space="0" w:color="37342E"/>
            </w:tcBorders>
            <w:shd w:val="clear" w:color="auto" w:fill="002060"/>
          </w:tcPr>
          <w:p w14:paraId="1CA6BC1E" w14:textId="3E5CBD28" w:rsidR="00165FB0" w:rsidRPr="00771396" w:rsidRDefault="00165FB0" w:rsidP="00165FB0">
            <w:pPr>
              <w:pStyle w:val="TableParagraph"/>
              <w:spacing w:line="276" w:lineRule="auto"/>
              <w:ind w:left="113" w:right="113"/>
              <w:jc w:val="both"/>
              <w:rPr>
                <w:rFonts w:ascii="Aptos" w:hAnsi="Aptos"/>
                <w:sz w:val="20"/>
                <w:szCs w:val="20"/>
              </w:rPr>
            </w:pPr>
            <w:r w:rsidRPr="00771396">
              <w:rPr>
                <w:rFonts w:ascii="Aptos" w:hAnsi="Aptos"/>
                <w:sz w:val="20"/>
                <w:szCs w:val="20"/>
              </w:rPr>
              <w:t>NIVEL 4 [Gestionado</w:t>
            </w:r>
            <w:r>
              <w:rPr>
                <w:rFonts w:ascii="Aptos" w:hAnsi="Aptos"/>
                <w:sz w:val="20"/>
                <w:szCs w:val="20"/>
              </w:rPr>
              <w:t xml:space="preserve"> </w:t>
            </w:r>
            <w:r w:rsidRPr="00771396">
              <w:rPr>
                <w:rFonts w:ascii="Aptos" w:hAnsi="Aptos"/>
                <w:sz w:val="20"/>
                <w:szCs w:val="20"/>
              </w:rPr>
              <w:t>Cuantitativamente]: La organización está basada en datos con objetivos cuantitativos de mejora del desempeño que son predecibles</w:t>
            </w:r>
          </w:p>
        </w:tc>
        <w:tc>
          <w:tcPr>
            <w:tcW w:w="2945" w:type="pct"/>
          </w:tcPr>
          <w:p w14:paraId="5B61C4B0" w14:textId="5EA2ED91" w:rsidR="00165FB0" w:rsidRPr="00362B37" w:rsidRDefault="00A40FA0" w:rsidP="00165FB0">
            <w:pPr>
              <w:spacing w:line="276" w:lineRule="auto"/>
              <w:ind w:right="113"/>
              <w:rPr>
                <w:rFonts w:ascii="Aptos" w:hAnsi="Aptos"/>
                <w:sz w:val="20"/>
                <w:szCs w:val="20"/>
              </w:rPr>
            </w:pPr>
            <w:r>
              <w:rPr>
                <w:rFonts w:ascii="Aptos" w:hAnsi="Aptos"/>
                <w:sz w:val="20"/>
                <w:szCs w:val="20"/>
              </w:rPr>
              <w:t xml:space="preserve">   1. Establecer métricas para evaluar el cumplimiento y la actualización de políticas y procedimientos de gestión de incidentes.</w:t>
            </w:r>
          </w:p>
        </w:tc>
      </w:tr>
      <w:tr w:rsidR="00165FB0" w:rsidRPr="007D390E" w14:paraId="03B339BA" w14:textId="77777777" w:rsidTr="00165FB0">
        <w:trPr>
          <w:trHeight w:val="20"/>
        </w:trPr>
        <w:tc>
          <w:tcPr>
            <w:tcW w:w="2055" w:type="pct"/>
            <w:shd w:val="clear" w:color="auto" w:fill="002060"/>
          </w:tcPr>
          <w:p w14:paraId="7922A5BD" w14:textId="77777777" w:rsidR="00165FB0" w:rsidRPr="00771396" w:rsidRDefault="00165FB0" w:rsidP="00165FB0">
            <w:pPr>
              <w:pStyle w:val="TableParagraph"/>
              <w:spacing w:before="4" w:line="276" w:lineRule="auto"/>
              <w:ind w:left="113" w:right="113"/>
              <w:jc w:val="both"/>
              <w:rPr>
                <w:rFonts w:ascii="Aptos" w:hAnsi="Aptos"/>
                <w:b/>
                <w:sz w:val="20"/>
                <w:szCs w:val="20"/>
              </w:rPr>
            </w:pPr>
          </w:p>
          <w:p w14:paraId="413D486F" w14:textId="77777777" w:rsidR="00165FB0" w:rsidRPr="00771396" w:rsidRDefault="00165FB0" w:rsidP="00165FB0">
            <w:pPr>
              <w:pStyle w:val="TableParagraph"/>
              <w:spacing w:before="0" w:line="276" w:lineRule="auto"/>
              <w:ind w:left="113" w:right="113"/>
              <w:jc w:val="both"/>
              <w:rPr>
                <w:rFonts w:ascii="Aptos" w:hAnsi="Aptos"/>
                <w:sz w:val="20"/>
                <w:szCs w:val="20"/>
              </w:rPr>
            </w:pPr>
            <w:r w:rsidRPr="00771396">
              <w:rPr>
                <w:rFonts w:ascii="Aptos" w:hAnsi="Aptos"/>
                <w:sz w:val="20"/>
                <w:szCs w:val="20"/>
              </w:rPr>
              <w:t>NIVEL 5 [Optimizado]: La organización se centra en la mejora continua y está diseñada para girar y responder a las oportunidades y los cambios.</w:t>
            </w:r>
          </w:p>
        </w:tc>
        <w:tc>
          <w:tcPr>
            <w:tcW w:w="2945" w:type="pct"/>
          </w:tcPr>
          <w:p w14:paraId="67109F11" w14:textId="12A0B0BF" w:rsidR="00165FB0" w:rsidRPr="00362B37" w:rsidRDefault="00A40FA0" w:rsidP="00165FB0">
            <w:pPr>
              <w:spacing w:line="276" w:lineRule="auto"/>
              <w:ind w:left="113" w:right="113"/>
              <w:rPr>
                <w:rFonts w:ascii="Aptos" w:hAnsi="Aptos"/>
                <w:sz w:val="20"/>
                <w:szCs w:val="20"/>
              </w:rPr>
            </w:pPr>
            <w:r>
              <w:rPr>
                <w:rFonts w:ascii="Aptos" w:hAnsi="Aptos"/>
                <w:sz w:val="20"/>
                <w:szCs w:val="20"/>
              </w:rPr>
              <w:t>1. Identificar brechas dentro de la política y los procedimientos de gestión de incidentes mediante las métricas de evaluación establecidas o ante un evento que lo requiera.</w:t>
            </w: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C63449">
          <w:pgSz w:w="20160" w:h="12240" w:orient="landscape"/>
          <w:pgMar w:top="1340" w:right="1400" w:bottom="1320" w:left="880" w:header="567" w:footer="681" w:gutter="0"/>
          <w:cols w:space="720"/>
          <w:docGrid w:linePitch="299"/>
        </w:sectPr>
      </w:pPr>
    </w:p>
    <w:p w14:paraId="5D96825C" w14:textId="48AF2073" w:rsidR="007766F8" w:rsidRPr="00F7131A" w:rsidRDefault="0022448B" w:rsidP="007D390E">
      <w:pPr>
        <w:pStyle w:val="Prrafodelista"/>
        <w:numPr>
          <w:ilvl w:val="0"/>
          <w:numId w:val="3"/>
        </w:numPr>
        <w:pBdr>
          <w:bottom w:val="single" w:sz="6" w:space="1" w:color="auto"/>
        </w:pBdr>
        <w:tabs>
          <w:tab w:val="left" w:pos="587"/>
        </w:tabs>
        <w:spacing w:before="218" w:line="276" w:lineRule="auto"/>
        <w:ind w:left="100" w:right="1125" w:firstLine="0"/>
        <w:jc w:val="both"/>
        <w:rPr>
          <w:rFonts w:ascii="Aptos" w:hAnsi="Aptos"/>
          <w:b/>
          <w:sz w:val="45"/>
        </w:rPr>
      </w:pPr>
      <w:r w:rsidRPr="007D390E">
        <w:rPr>
          <w:rFonts w:ascii="Aptos" w:hAnsi="Aptos"/>
          <w:b/>
          <w:spacing w:val="-5"/>
          <w:sz w:val="45"/>
        </w:rPr>
        <w:lastRenderedPageBreak/>
        <w:t xml:space="preserve">Prácticas </w:t>
      </w:r>
      <w:r w:rsidRPr="007D390E">
        <w:rPr>
          <w:rFonts w:ascii="Aptos" w:hAnsi="Aptos"/>
          <w:b/>
          <w:spacing w:val="-3"/>
          <w:sz w:val="45"/>
        </w:rPr>
        <w:t xml:space="preserve">de </w:t>
      </w:r>
      <w:r w:rsidRPr="007D390E">
        <w:rPr>
          <w:rFonts w:ascii="Aptos" w:hAnsi="Aptos"/>
          <w:b/>
          <w:spacing w:val="-5"/>
          <w:sz w:val="45"/>
        </w:rPr>
        <w:t xml:space="preserve">auditoría </w:t>
      </w:r>
      <w:r w:rsidRPr="007D390E">
        <w:rPr>
          <w:rFonts w:ascii="Aptos" w:hAnsi="Aptos"/>
          <w:b/>
          <w:spacing w:val="-4"/>
          <w:sz w:val="45"/>
        </w:rPr>
        <w:t xml:space="preserve">para </w:t>
      </w:r>
      <w:r w:rsidR="002315DF">
        <w:rPr>
          <w:rFonts w:ascii="Aptos" w:hAnsi="Aptos"/>
          <w:b/>
          <w:spacing w:val="-4"/>
          <w:sz w:val="45"/>
        </w:rPr>
        <w:t>Políticas y Procedimientos</w:t>
      </w:r>
    </w:p>
    <w:p w14:paraId="7561454C" w14:textId="77777777" w:rsidR="00F7131A" w:rsidRPr="007D390E" w:rsidRDefault="00F7131A" w:rsidP="00F7131A">
      <w:pPr>
        <w:pStyle w:val="Sinespaciado"/>
      </w:pPr>
    </w:p>
    <w:tbl>
      <w:tblPr>
        <w:tblStyle w:val="Tablaconcuadrcula"/>
        <w:tblW w:w="5000" w:type="pct"/>
        <w:tblLook w:val="04A0" w:firstRow="1" w:lastRow="0" w:firstColumn="1" w:lastColumn="0" w:noHBand="0" w:noVBand="1"/>
      </w:tblPr>
      <w:tblGrid>
        <w:gridCol w:w="17870"/>
      </w:tblGrid>
      <w:tr w:rsidR="007D390E" w:rsidRPr="007D390E" w14:paraId="576EC870" w14:textId="77777777" w:rsidTr="001B16C7">
        <w:tc>
          <w:tcPr>
            <w:tcW w:w="5000" w:type="pct"/>
            <w:shd w:val="clear" w:color="auto" w:fill="002060"/>
          </w:tcPr>
          <w:p w14:paraId="4146E292" w14:textId="3DDD83FE" w:rsidR="002D1F14" w:rsidRPr="007D390E" w:rsidRDefault="0056582C" w:rsidP="00EE4452">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2315DF" w:rsidRPr="002315DF">
              <w:rPr>
                <w:rFonts w:ascii="Aptos" w:hAnsi="Aptos"/>
                <w:spacing w:val="-4"/>
              </w:rPr>
              <w:t>Políticas y Procesos</w:t>
            </w:r>
          </w:p>
        </w:tc>
      </w:tr>
      <w:tr w:rsidR="002D1F14" w:rsidRPr="007D390E" w14:paraId="63BB0CA4" w14:textId="77777777" w:rsidTr="001B16C7">
        <w:tc>
          <w:tcPr>
            <w:tcW w:w="5000" w:type="pct"/>
          </w:tcPr>
          <w:p w14:paraId="498D8E89" w14:textId="5E523393" w:rsidR="002315DF" w:rsidRPr="00875B13" w:rsidRDefault="002315DF" w:rsidP="00165FB0">
            <w:pPr>
              <w:pStyle w:val="Textoindependiente"/>
              <w:spacing w:line="276" w:lineRule="auto"/>
              <w:ind w:left="0" w:right="152"/>
              <w:jc w:val="both"/>
              <w:rPr>
                <w:rFonts w:ascii="Aptos" w:hAnsi="Aptos"/>
                <w:sz w:val="28"/>
                <w:szCs w:val="26"/>
              </w:rPr>
            </w:pPr>
            <w:r>
              <w:rPr>
                <w:rFonts w:ascii="Aptos" w:hAnsi="Aptos"/>
                <w:sz w:val="28"/>
                <w:szCs w:val="26"/>
              </w:rPr>
              <w:t>La evaluación de esta temática s</w:t>
            </w:r>
            <w:r w:rsidRPr="002315DF">
              <w:rPr>
                <w:rFonts w:ascii="Aptos" w:hAnsi="Aptos"/>
                <w:sz w:val="28"/>
                <w:szCs w:val="26"/>
              </w:rPr>
              <w:t>e centra en la estructura formal que guía las acciones, incluyendo políticas, procedimientos y métodos de reporte que aseguran que la organización esté preparada y alineada con sus objetivos estratégicos.</w:t>
            </w:r>
          </w:p>
          <w:p w14:paraId="215C8E0D" w14:textId="1EA2959C" w:rsidR="002315DF" w:rsidRDefault="00165FB0" w:rsidP="00564FB8">
            <w:pPr>
              <w:pStyle w:val="Textoindependiente"/>
              <w:spacing w:line="276" w:lineRule="auto"/>
              <w:ind w:left="0" w:right="152"/>
              <w:jc w:val="both"/>
              <w:rPr>
                <w:rFonts w:ascii="Aptos" w:hAnsi="Aptos"/>
                <w:sz w:val="28"/>
                <w:szCs w:val="26"/>
                <w:lang w:val="es-CL"/>
              </w:rPr>
            </w:pPr>
            <w:r w:rsidRPr="00165FB0">
              <w:rPr>
                <w:rFonts w:ascii="Aptos" w:hAnsi="Aptos"/>
                <w:sz w:val="28"/>
                <w:szCs w:val="26"/>
                <w:lang w:val="es-CL"/>
              </w:rPr>
              <w:t>Este levantamiento puede incluir análisis específicos tales como:</w:t>
            </w:r>
          </w:p>
          <w:p w14:paraId="572FD6C0" w14:textId="04F2077B" w:rsidR="002315DF" w:rsidRPr="002315DF" w:rsidRDefault="002315DF" w:rsidP="002315DF">
            <w:pPr>
              <w:pStyle w:val="Textoindependiente"/>
              <w:numPr>
                <w:ilvl w:val="0"/>
                <w:numId w:val="51"/>
              </w:numPr>
              <w:spacing w:line="276" w:lineRule="auto"/>
              <w:ind w:right="152"/>
              <w:jc w:val="both"/>
              <w:rPr>
                <w:rFonts w:ascii="Aptos" w:hAnsi="Aptos"/>
                <w:sz w:val="28"/>
                <w:szCs w:val="26"/>
                <w:lang w:val="es-CL"/>
              </w:rPr>
            </w:pPr>
            <w:r w:rsidRPr="002315DF">
              <w:rPr>
                <w:rFonts w:ascii="Aptos" w:hAnsi="Aptos"/>
                <w:sz w:val="28"/>
                <w:szCs w:val="26"/>
                <w:lang w:val="es-CL"/>
              </w:rPr>
              <w:t>¿Se ha establecido una política formal de respuesta a incidentes de seguridad de la información?</w:t>
            </w:r>
          </w:p>
          <w:p w14:paraId="614E6767" w14:textId="77777777" w:rsidR="002315DF" w:rsidRPr="002315DF" w:rsidRDefault="002315DF" w:rsidP="002315DF">
            <w:pPr>
              <w:pStyle w:val="Textoindependiente"/>
              <w:numPr>
                <w:ilvl w:val="1"/>
                <w:numId w:val="51"/>
              </w:numPr>
              <w:spacing w:line="276" w:lineRule="auto"/>
              <w:ind w:right="152"/>
              <w:jc w:val="both"/>
              <w:rPr>
                <w:rFonts w:ascii="Aptos" w:hAnsi="Aptos"/>
                <w:sz w:val="28"/>
                <w:szCs w:val="26"/>
                <w:lang w:val="es-CL"/>
              </w:rPr>
            </w:pPr>
            <w:r w:rsidRPr="002315DF">
              <w:rPr>
                <w:rFonts w:ascii="Aptos" w:hAnsi="Aptos"/>
                <w:sz w:val="28"/>
                <w:szCs w:val="26"/>
                <w:lang w:val="es-CL"/>
              </w:rPr>
              <w:t>¿Incluye esta política una declaración de compromiso de la dirección?</w:t>
            </w:r>
          </w:p>
          <w:p w14:paraId="17E1CA97" w14:textId="77777777" w:rsidR="002315DF" w:rsidRPr="002315DF" w:rsidRDefault="002315DF" w:rsidP="002315DF">
            <w:pPr>
              <w:pStyle w:val="Textoindependiente"/>
              <w:numPr>
                <w:ilvl w:val="1"/>
                <w:numId w:val="51"/>
              </w:numPr>
              <w:spacing w:line="276" w:lineRule="auto"/>
              <w:ind w:right="152"/>
              <w:jc w:val="both"/>
              <w:rPr>
                <w:rFonts w:ascii="Aptos" w:hAnsi="Aptos"/>
                <w:sz w:val="28"/>
                <w:szCs w:val="26"/>
                <w:lang w:val="es-CL"/>
              </w:rPr>
            </w:pPr>
            <w:r w:rsidRPr="002315DF">
              <w:rPr>
                <w:rFonts w:ascii="Aptos" w:hAnsi="Aptos"/>
                <w:sz w:val="28"/>
                <w:szCs w:val="26"/>
                <w:lang w:val="es-CL"/>
              </w:rPr>
              <w:t>¿Están claramente definidos los objetivos y el alcance de la política?</w:t>
            </w:r>
          </w:p>
          <w:p w14:paraId="5D55121C" w14:textId="15FD6798" w:rsidR="002315DF" w:rsidRPr="002315DF" w:rsidRDefault="002315DF" w:rsidP="002315DF">
            <w:pPr>
              <w:pStyle w:val="Textoindependiente"/>
              <w:numPr>
                <w:ilvl w:val="1"/>
                <w:numId w:val="51"/>
              </w:numPr>
              <w:spacing w:line="276" w:lineRule="auto"/>
              <w:ind w:right="152"/>
              <w:jc w:val="both"/>
              <w:rPr>
                <w:rFonts w:ascii="Aptos" w:hAnsi="Aptos"/>
                <w:sz w:val="28"/>
                <w:szCs w:val="26"/>
                <w:lang w:val="es-CL"/>
              </w:rPr>
            </w:pPr>
            <w:r w:rsidRPr="002315DF">
              <w:rPr>
                <w:rFonts w:ascii="Aptos" w:hAnsi="Aptos"/>
                <w:sz w:val="28"/>
                <w:szCs w:val="26"/>
                <w:lang w:val="es-CL"/>
              </w:rPr>
              <w:t>¿Se han establecido roles, responsabilidades y niveles de autoridad en la política?</w:t>
            </w:r>
          </w:p>
          <w:p w14:paraId="23A4AD51" w14:textId="77777777" w:rsidR="002315DF" w:rsidRPr="002315DF" w:rsidRDefault="002315DF" w:rsidP="002315DF">
            <w:pPr>
              <w:pStyle w:val="Textoindependiente"/>
              <w:numPr>
                <w:ilvl w:val="0"/>
                <w:numId w:val="52"/>
              </w:numPr>
              <w:spacing w:line="276" w:lineRule="auto"/>
              <w:ind w:right="152"/>
              <w:jc w:val="both"/>
              <w:rPr>
                <w:rFonts w:ascii="Aptos" w:hAnsi="Aptos"/>
                <w:sz w:val="28"/>
                <w:szCs w:val="26"/>
                <w:lang w:val="es-CL"/>
              </w:rPr>
            </w:pPr>
            <w:r w:rsidRPr="002315DF">
              <w:rPr>
                <w:rFonts w:ascii="Aptos" w:hAnsi="Aptos"/>
                <w:sz w:val="28"/>
                <w:szCs w:val="26"/>
                <w:lang w:val="es-CL"/>
              </w:rPr>
              <w:t>¿Se ha establecido un método común para notificar eventos de seguridad de la información?</w:t>
            </w:r>
          </w:p>
          <w:p w14:paraId="7F99BA8A" w14:textId="77777777" w:rsidR="002315DF" w:rsidRPr="002315DF" w:rsidRDefault="002315DF" w:rsidP="002315DF">
            <w:pPr>
              <w:pStyle w:val="Textoindependiente"/>
              <w:numPr>
                <w:ilvl w:val="1"/>
                <w:numId w:val="52"/>
              </w:numPr>
              <w:spacing w:line="276" w:lineRule="auto"/>
              <w:ind w:right="152"/>
              <w:jc w:val="both"/>
              <w:rPr>
                <w:rFonts w:ascii="Aptos" w:hAnsi="Aptos"/>
                <w:sz w:val="28"/>
                <w:szCs w:val="26"/>
                <w:lang w:val="es-CL"/>
              </w:rPr>
            </w:pPr>
            <w:r w:rsidRPr="002315DF">
              <w:rPr>
                <w:rFonts w:ascii="Aptos" w:hAnsi="Aptos"/>
                <w:sz w:val="28"/>
                <w:szCs w:val="26"/>
                <w:lang w:val="es-CL"/>
              </w:rPr>
              <w:t>¿Existe un punto de contacto claro y accesible para la notificación?</w:t>
            </w:r>
          </w:p>
          <w:p w14:paraId="4796303A" w14:textId="77777777" w:rsidR="002315DF" w:rsidRPr="002315DF" w:rsidRDefault="002315DF" w:rsidP="002315DF">
            <w:pPr>
              <w:pStyle w:val="Textoindependiente"/>
              <w:numPr>
                <w:ilvl w:val="1"/>
                <w:numId w:val="52"/>
              </w:numPr>
              <w:spacing w:line="276" w:lineRule="auto"/>
              <w:ind w:right="152"/>
              <w:jc w:val="both"/>
              <w:rPr>
                <w:rFonts w:ascii="Aptos" w:hAnsi="Aptos"/>
                <w:sz w:val="28"/>
                <w:szCs w:val="26"/>
                <w:lang w:val="es-CL"/>
              </w:rPr>
            </w:pPr>
            <w:r w:rsidRPr="002315DF">
              <w:rPr>
                <w:rFonts w:ascii="Aptos" w:hAnsi="Aptos"/>
                <w:sz w:val="28"/>
                <w:szCs w:val="26"/>
                <w:lang w:val="es-CL"/>
              </w:rPr>
              <w:t>¿Están los empleados informados sobre el proceso y saben cómo notificar incidentes?</w:t>
            </w:r>
          </w:p>
          <w:p w14:paraId="09539FE9" w14:textId="77777777" w:rsidR="002315DF" w:rsidRPr="002315DF" w:rsidRDefault="002315DF" w:rsidP="002315DF">
            <w:pPr>
              <w:pStyle w:val="Textoindependiente"/>
              <w:numPr>
                <w:ilvl w:val="0"/>
                <w:numId w:val="53"/>
              </w:numPr>
              <w:spacing w:line="276" w:lineRule="auto"/>
              <w:ind w:right="152"/>
              <w:jc w:val="both"/>
              <w:rPr>
                <w:rFonts w:ascii="Aptos" w:hAnsi="Aptos"/>
                <w:sz w:val="28"/>
                <w:szCs w:val="26"/>
                <w:lang w:val="es-CL"/>
              </w:rPr>
            </w:pPr>
            <w:r w:rsidRPr="002315DF">
              <w:rPr>
                <w:rFonts w:ascii="Aptos" w:hAnsi="Aptos"/>
                <w:sz w:val="28"/>
                <w:szCs w:val="26"/>
                <w:lang w:val="es-CL"/>
              </w:rPr>
              <w:t>¿Se ha establecido un proceso formal de gestión de incidentes de seguridad de la información?</w:t>
            </w:r>
          </w:p>
          <w:p w14:paraId="682A51AF" w14:textId="77777777" w:rsidR="002315DF" w:rsidRPr="002315DF" w:rsidRDefault="002315DF" w:rsidP="002315DF">
            <w:pPr>
              <w:pStyle w:val="Textoindependiente"/>
              <w:numPr>
                <w:ilvl w:val="1"/>
                <w:numId w:val="53"/>
              </w:numPr>
              <w:spacing w:line="276" w:lineRule="auto"/>
              <w:ind w:right="152"/>
              <w:jc w:val="both"/>
              <w:rPr>
                <w:rFonts w:ascii="Aptos" w:hAnsi="Aptos"/>
                <w:sz w:val="28"/>
                <w:szCs w:val="26"/>
                <w:lang w:val="es-CL"/>
              </w:rPr>
            </w:pPr>
            <w:r w:rsidRPr="002315DF">
              <w:rPr>
                <w:rFonts w:ascii="Aptos" w:hAnsi="Aptos"/>
                <w:sz w:val="28"/>
                <w:szCs w:val="26"/>
                <w:lang w:val="es-CL"/>
              </w:rPr>
              <w:t>¿Incluye este proceso la administración, documentación, detección, triaje, priorización, análisis, comunicación y coordinación de las partes interesadas?</w:t>
            </w:r>
          </w:p>
          <w:p w14:paraId="3A8C8E93" w14:textId="77777777" w:rsidR="002315DF" w:rsidRPr="002315DF" w:rsidRDefault="002315DF" w:rsidP="002315DF">
            <w:pPr>
              <w:pStyle w:val="Textoindependiente"/>
              <w:numPr>
                <w:ilvl w:val="1"/>
                <w:numId w:val="53"/>
              </w:numPr>
              <w:spacing w:line="276" w:lineRule="auto"/>
              <w:ind w:right="152"/>
              <w:jc w:val="both"/>
              <w:rPr>
                <w:rFonts w:ascii="Aptos" w:hAnsi="Aptos"/>
                <w:sz w:val="28"/>
                <w:szCs w:val="26"/>
                <w:lang w:val="es-CL"/>
              </w:rPr>
            </w:pPr>
            <w:r w:rsidRPr="002315DF">
              <w:rPr>
                <w:rFonts w:ascii="Aptos" w:hAnsi="Aptos"/>
                <w:sz w:val="28"/>
                <w:szCs w:val="26"/>
                <w:lang w:val="es-CL"/>
              </w:rPr>
              <w:t>¿Se documentan adecuadamente todos los incidentes, incluyendo los detalles de su resolución?</w:t>
            </w:r>
          </w:p>
          <w:p w14:paraId="5405CF6F" w14:textId="77777777" w:rsidR="002315DF" w:rsidRPr="002315DF" w:rsidRDefault="002315DF" w:rsidP="002315DF">
            <w:pPr>
              <w:pStyle w:val="Textoindependiente"/>
              <w:numPr>
                <w:ilvl w:val="0"/>
                <w:numId w:val="54"/>
              </w:numPr>
              <w:spacing w:line="276" w:lineRule="auto"/>
              <w:ind w:right="152"/>
              <w:jc w:val="both"/>
              <w:rPr>
                <w:rFonts w:ascii="Aptos" w:hAnsi="Aptos"/>
                <w:sz w:val="28"/>
                <w:szCs w:val="26"/>
                <w:lang w:val="es-CL"/>
              </w:rPr>
            </w:pPr>
            <w:r w:rsidRPr="002315DF">
              <w:rPr>
                <w:rFonts w:ascii="Aptos" w:hAnsi="Aptos"/>
                <w:sz w:val="28"/>
                <w:szCs w:val="26"/>
                <w:lang w:val="es-CL"/>
              </w:rPr>
              <w:t>¿Se ha establecido un proceso de respuesta a incidentes de seguridad de la información?</w:t>
            </w:r>
          </w:p>
          <w:p w14:paraId="7DF3C3FD" w14:textId="77777777" w:rsidR="002315DF" w:rsidRPr="002315DF" w:rsidRDefault="002315DF" w:rsidP="002315DF">
            <w:pPr>
              <w:pStyle w:val="Textoindependiente"/>
              <w:numPr>
                <w:ilvl w:val="1"/>
                <w:numId w:val="54"/>
              </w:numPr>
              <w:spacing w:line="276" w:lineRule="auto"/>
              <w:ind w:right="152"/>
              <w:jc w:val="both"/>
              <w:rPr>
                <w:rFonts w:ascii="Aptos" w:hAnsi="Aptos"/>
                <w:sz w:val="28"/>
                <w:szCs w:val="26"/>
                <w:lang w:val="es-CL"/>
              </w:rPr>
            </w:pPr>
            <w:r w:rsidRPr="002315DF">
              <w:rPr>
                <w:rFonts w:ascii="Aptos" w:hAnsi="Aptos"/>
                <w:sz w:val="28"/>
                <w:szCs w:val="26"/>
                <w:lang w:val="es-CL"/>
              </w:rPr>
              <w:t>¿Se evalúan y responden adecuadamente los incidentes en función de su gravedad y potencial impacto?</w:t>
            </w:r>
          </w:p>
          <w:p w14:paraId="0BB2CBFB" w14:textId="77777777" w:rsidR="002315DF" w:rsidRPr="002315DF" w:rsidRDefault="002315DF" w:rsidP="002315DF">
            <w:pPr>
              <w:pStyle w:val="Textoindependiente"/>
              <w:numPr>
                <w:ilvl w:val="1"/>
                <w:numId w:val="54"/>
              </w:numPr>
              <w:spacing w:line="276" w:lineRule="auto"/>
              <w:ind w:right="152"/>
              <w:jc w:val="both"/>
              <w:rPr>
                <w:rFonts w:ascii="Aptos" w:hAnsi="Aptos"/>
                <w:sz w:val="28"/>
                <w:szCs w:val="26"/>
                <w:lang w:val="es-CL"/>
              </w:rPr>
            </w:pPr>
            <w:r w:rsidRPr="002315DF">
              <w:rPr>
                <w:rFonts w:ascii="Aptos" w:hAnsi="Aptos"/>
                <w:sz w:val="28"/>
                <w:szCs w:val="26"/>
                <w:lang w:val="es-CL"/>
              </w:rPr>
              <w:t>¿Se realizan sesiones de aprendizaje post-incidente para mejorar futuros procesos?</w:t>
            </w:r>
          </w:p>
          <w:p w14:paraId="19458FCB" w14:textId="77777777" w:rsidR="002315DF" w:rsidRPr="002315DF" w:rsidRDefault="002315DF" w:rsidP="002315DF">
            <w:pPr>
              <w:pStyle w:val="Textoindependiente"/>
              <w:numPr>
                <w:ilvl w:val="0"/>
                <w:numId w:val="55"/>
              </w:numPr>
              <w:spacing w:line="276" w:lineRule="auto"/>
              <w:ind w:right="152"/>
              <w:jc w:val="both"/>
              <w:rPr>
                <w:rFonts w:ascii="Aptos" w:hAnsi="Aptos"/>
                <w:sz w:val="28"/>
                <w:szCs w:val="26"/>
                <w:lang w:val="es-CL"/>
              </w:rPr>
            </w:pPr>
            <w:r w:rsidRPr="002315DF">
              <w:rPr>
                <w:rFonts w:ascii="Aptos" w:hAnsi="Aptos"/>
                <w:sz w:val="28"/>
                <w:szCs w:val="26"/>
                <w:lang w:val="es-CL"/>
              </w:rPr>
              <w:t>¿Se han documentado los procedimientos de respuesta a incidentes de seguridad de la información?</w:t>
            </w:r>
          </w:p>
          <w:p w14:paraId="1CAA1692" w14:textId="77777777" w:rsidR="002315DF" w:rsidRPr="002315DF" w:rsidRDefault="002315DF" w:rsidP="002315DF">
            <w:pPr>
              <w:pStyle w:val="Textoindependiente"/>
              <w:numPr>
                <w:ilvl w:val="1"/>
                <w:numId w:val="55"/>
              </w:numPr>
              <w:spacing w:line="276" w:lineRule="auto"/>
              <w:ind w:right="152"/>
              <w:jc w:val="both"/>
              <w:rPr>
                <w:rFonts w:ascii="Aptos" w:hAnsi="Aptos"/>
                <w:sz w:val="28"/>
                <w:szCs w:val="26"/>
                <w:lang w:val="es-CL"/>
              </w:rPr>
            </w:pPr>
            <w:r w:rsidRPr="002315DF">
              <w:rPr>
                <w:rFonts w:ascii="Aptos" w:hAnsi="Aptos"/>
                <w:sz w:val="28"/>
                <w:szCs w:val="26"/>
                <w:lang w:val="es-CL"/>
              </w:rPr>
              <w:t>¿Se han acordado estos procedimientos con la dirección?</w:t>
            </w:r>
          </w:p>
          <w:p w14:paraId="184BEE4A" w14:textId="1A2E70CD" w:rsidR="002315DF" w:rsidRPr="002315DF" w:rsidRDefault="002315DF" w:rsidP="002315DF">
            <w:pPr>
              <w:pStyle w:val="Textoindependiente"/>
              <w:numPr>
                <w:ilvl w:val="1"/>
                <w:numId w:val="55"/>
              </w:numPr>
              <w:spacing w:line="276" w:lineRule="auto"/>
              <w:ind w:right="152"/>
              <w:jc w:val="both"/>
              <w:rPr>
                <w:rFonts w:ascii="Aptos" w:hAnsi="Aptos"/>
                <w:sz w:val="28"/>
                <w:szCs w:val="26"/>
                <w:lang w:val="es-CL"/>
              </w:rPr>
            </w:pPr>
            <w:r w:rsidRPr="002315DF">
              <w:rPr>
                <w:rFonts w:ascii="Aptos" w:hAnsi="Aptos"/>
                <w:sz w:val="28"/>
                <w:szCs w:val="26"/>
                <w:lang w:val="es-CL"/>
              </w:rPr>
              <w:t>¿Se revisan y actualizan regularmente estos procedimientos?</w:t>
            </w:r>
          </w:p>
          <w:p w14:paraId="34014A7A" w14:textId="77777777" w:rsidR="002315DF" w:rsidRPr="002315DF" w:rsidRDefault="002315DF" w:rsidP="002315DF">
            <w:pPr>
              <w:pStyle w:val="Textoindependiente"/>
              <w:numPr>
                <w:ilvl w:val="0"/>
                <w:numId w:val="56"/>
              </w:numPr>
              <w:spacing w:line="276" w:lineRule="auto"/>
              <w:ind w:right="152"/>
              <w:jc w:val="both"/>
              <w:rPr>
                <w:rFonts w:ascii="Aptos" w:hAnsi="Aptos"/>
                <w:sz w:val="28"/>
                <w:szCs w:val="26"/>
                <w:lang w:val="es-CL"/>
              </w:rPr>
            </w:pPr>
            <w:r w:rsidRPr="002315DF">
              <w:rPr>
                <w:rFonts w:ascii="Aptos" w:hAnsi="Aptos"/>
                <w:sz w:val="28"/>
                <w:szCs w:val="26"/>
                <w:lang w:val="es-CL"/>
              </w:rPr>
              <w:lastRenderedPageBreak/>
              <w:t>¿Se han establecido procedimientos claros para la presentación de informes de incidentes de seguridad de la información?</w:t>
            </w:r>
          </w:p>
          <w:p w14:paraId="3092E9A3" w14:textId="77777777" w:rsidR="002315DF" w:rsidRPr="002315DF" w:rsidRDefault="002315DF" w:rsidP="002315DF">
            <w:pPr>
              <w:pStyle w:val="Textoindependiente"/>
              <w:numPr>
                <w:ilvl w:val="1"/>
                <w:numId w:val="56"/>
              </w:numPr>
              <w:spacing w:line="276" w:lineRule="auto"/>
              <w:ind w:right="152"/>
              <w:jc w:val="both"/>
              <w:rPr>
                <w:rFonts w:ascii="Aptos" w:hAnsi="Aptos"/>
                <w:sz w:val="28"/>
                <w:szCs w:val="26"/>
                <w:lang w:val="es-CL"/>
              </w:rPr>
            </w:pPr>
            <w:r w:rsidRPr="002315DF">
              <w:rPr>
                <w:rFonts w:ascii="Aptos" w:hAnsi="Aptos"/>
                <w:sz w:val="28"/>
                <w:szCs w:val="26"/>
                <w:lang w:val="es-CL"/>
              </w:rPr>
              <w:t>¿Se utilizan formularios específicos para la denuncia de incidentes?</w:t>
            </w:r>
          </w:p>
          <w:p w14:paraId="0F19D85A" w14:textId="77777777" w:rsidR="002315DF" w:rsidRPr="002315DF" w:rsidRDefault="002315DF" w:rsidP="002315DF">
            <w:pPr>
              <w:pStyle w:val="Textoindependiente"/>
              <w:numPr>
                <w:ilvl w:val="1"/>
                <w:numId w:val="56"/>
              </w:numPr>
              <w:spacing w:line="276" w:lineRule="auto"/>
              <w:ind w:right="152"/>
              <w:jc w:val="both"/>
              <w:rPr>
                <w:rFonts w:ascii="Aptos" w:hAnsi="Aptos"/>
                <w:sz w:val="28"/>
                <w:szCs w:val="26"/>
                <w:lang w:val="es-CL"/>
              </w:rPr>
            </w:pPr>
            <w:r w:rsidRPr="002315DF">
              <w:rPr>
                <w:rFonts w:ascii="Aptos" w:hAnsi="Aptos"/>
                <w:sz w:val="28"/>
                <w:szCs w:val="26"/>
                <w:lang w:val="es-CL"/>
              </w:rPr>
              <w:t>¿Se proporciona retroalimentación a las personas que informan sobre incidentes?</w:t>
            </w:r>
          </w:p>
          <w:p w14:paraId="6D8DA8C5" w14:textId="77777777" w:rsidR="002315DF" w:rsidRPr="002315DF" w:rsidRDefault="002315DF" w:rsidP="002315DF">
            <w:pPr>
              <w:pStyle w:val="Textoindependiente"/>
              <w:numPr>
                <w:ilvl w:val="1"/>
                <w:numId w:val="56"/>
              </w:numPr>
              <w:spacing w:line="276" w:lineRule="auto"/>
              <w:ind w:right="152"/>
              <w:jc w:val="both"/>
              <w:rPr>
                <w:rFonts w:ascii="Aptos" w:hAnsi="Aptos"/>
                <w:sz w:val="28"/>
                <w:szCs w:val="26"/>
                <w:lang w:val="es-CL"/>
              </w:rPr>
            </w:pPr>
            <w:r w:rsidRPr="002315DF">
              <w:rPr>
                <w:rFonts w:ascii="Aptos" w:hAnsi="Aptos"/>
                <w:sz w:val="28"/>
                <w:szCs w:val="26"/>
                <w:lang w:val="es-CL"/>
              </w:rPr>
              <w:t>¿Se cumplen los requisitos externos de notificación a reguladores u otras partes interesadas?</w:t>
            </w:r>
          </w:p>
          <w:p w14:paraId="00B96742" w14:textId="496C0DE2" w:rsidR="00564FB8" w:rsidRPr="0009568A" w:rsidRDefault="00564FB8" w:rsidP="00564FB8">
            <w:pPr>
              <w:pStyle w:val="Textoindependiente"/>
              <w:spacing w:line="276" w:lineRule="auto"/>
              <w:ind w:left="0" w:right="152"/>
              <w:jc w:val="both"/>
              <w:rPr>
                <w:rFonts w:ascii="Aptos" w:hAnsi="Aptos"/>
                <w:sz w:val="28"/>
                <w:szCs w:val="26"/>
                <w:lang w:val="es-CL"/>
              </w:rPr>
            </w:pPr>
          </w:p>
        </w:tc>
      </w:tr>
    </w:tbl>
    <w:p w14:paraId="249D5281" w14:textId="77777777" w:rsidR="008738AA" w:rsidRDefault="008738AA" w:rsidP="0009568A">
      <w:pPr>
        <w:pStyle w:val="Textoindependiente"/>
        <w:spacing w:before="153" w:line="276" w:lineRule="auto"/>
        <w:ind w:left="0"/>
        <w:jc w:val="both"/>
        <w:rPr>
          <w:rFonts w:ascii="Aptos" w:hAnsi="Aptos"/>
        </w:rPr>
      </w:pPr>
    </w:p>
    <w:tbl>
      <w:tblPr>
        <w:tblStyle w:val="Tablaconcuadrcula"/>
        <w:tblW w:w="5000" w:type="pct"/>
        <w:tblLook w:val="04A0" w:firstRow="1" w:lastRow="0" w:firstColumn="1" w:lastColumn="0" w:noHBand="0" w:noVBand="1"/>
      </w:tblPr>
      <w:tblGrid>
        <w:gridCol w:w="17870"/>
      </w:tblGrid>
      <w:tr w:rsidR="002315DF" w:rsidRPr="007D390E" w14:paraId="7AA03159" w14:textId="77777777" w:rsidTr="00CA4861">
        <w:tc>
          <w:tcPr>
            <w:tcW w:w="5000" w:type="pct"/>
            <w:shd w:val="clear" w:color="auto" w:fill="002060"/>
          </w:tcPr>
          <w:p w14:paraId="29CEB91C" w14:textId="19733C93" w:rsidR="002315DF" w:rsidRPr="007D390E" w:rsidRDefault="002315DF" w:rsidP="0042215A">
            <w:pPr>
              <w:pStyle w:val="Ttulo2"/>
              <w:numPr>
                <w:ilvl w:val="1"/>
                <w:numId w:val="2"/>
              </w:numPr>
              <w:tabs>
                <w:tab w:val="left" w:pos="687"/>
              </w:tabs>
              <w:spacing w:line="276" w:lineRule="auto"/>
              <w:jc w:val="both"/>
              <w:rPr>
                <w:rFonts w:ascii="Aptos" w:hAnsi="Aptos"/>
                <w:b w:val="0"/>
              </w:rPr>
            </w:pPr>
            <w:r>
              <w:rPr>
                <w:rFonts w:ascii="Aptos" w:hAnsi="Aptos"/>
                <w:spacing w:val="-4"/>
              </w:rPr>
              <w:t xml:space="preserve">Temática: </w:t>
            </w:r>
            <w:r w:rsidRPr="002315DF">
              <w:rPr>
                <w:rFonts w:ascii="Aptos" w:hAnsi="Aptos"/>
                <w:spacing w:val="-4"/>
              </w:rPr>
              <w:t>Capacidades y Ejecución</w:t>
            </w:r>
          </w:p>
        </w:tc>
      </w:tr>
      <w:tr w:rsidR="002315DF" w:rsidRPr="007D390E" w14:paraId="262B0CDD" w14:textId="77777777" w:rsidTr="00CA4861">
        <w:tc>
          <w:tcPr>
            <w:tcW w:w="5000" w:type="pct"/>
          </w:tcPr>
          <w:p w14:paraId="54D10D6C" w14:textId="12916732" w:rsidR="002315DF" w:rsidRPr="00875B13" w:rsidRDefault="002315DF" w:rsidP="00CA4861">
            <w:pPr>
              <w:pStyle w:val="Textoindependiente"/>
              <w:spacing w:line="276" w:lineRule="auto"/>
              <w:ind w:left="0" w:right="152"/>
              <w:jc w:val="both"/>
              <w:rPr>
                <w:rFonts w:ascii="Aptos" w:hAnsi="Aptos"/>
                <w:sz w:val="28"/>
                <w:szCs w:val="26"/>
              </w:rPr>
            </w:pPr>
            <w:r>
              <w:rPr>
                <w:rFonts w:ascii="Aptos" w:hAnsi="Aptos"/>
                <w:sz w:val="28"/>
                <w:szCs w:val="26"/>
              </w:rPr>
              <w:t xml:space="preserve">Durante esta evaluación se revisa </w:t>
            </w:r>
            <w:r w:rsidRPr="002315DF">
              <w:rPr>
                <w:rFonts w:ascii="Aptos" w:hAnsi="Aptos"/>
                <w:sz w:val="28"/>
                <w:szCs w:val="26"/>
              </w:rPr>
              <w:t xml:space="preserve">la implementación práctica de </w:t>
            </w:r>
            <w:r>
              <w:rPr>
                <w:rFonts w:ascii="Aptos" w:hAnsi="Aptos"/>
                <w:sz w:val="28"/>
                <w:szCs w:val="26"/>
              </w:rPr>
              <w:t>las</w:t>
            </w:r>
            <w:r w:rsidRPr="002315DF">
              <w:rPr>
                <w:rFonts w:ascii="Aptos" w:hAnsi="Aptos"/>
                <w:sz w:val="28"/>
                <w:szCs w:val="26"/>
              </w:rPr>
              <w:t xml:space="preserve"> políticas, asegurando que el personal esté capacitado, los incidentes sean gestionados eficazmente y las prioridades de la organización se respeten en la ejecución diaria.</w:t>
            </w:r>
          </w:p>
          <w:p w14:paraId="76675C27" w14:textId="77777777" w:rsidR="002315DF" w:rsidRDefault="002315DF" w:rsidP="00CA4861">
            <w:pPr>
              <w:pStyle w:val="Textoindependiente"/>
              <w:spacing w:line="276" w:lineRule="auto"/>
              <w:ind w:left="0" w:right="152"/>
              <w:jc w:val="both"/>
              <w:rPr>
                <w:rFonts w:ascii="Aptos" w:hAnsi="Aptos"/>
                <w:sz w:val="28"/>
                <w:szCs w:val="26"/>
                <w:lang w:val="es-CL"/>
              </w:rPr>
            </w:pPr>
            <w:r w:rsidRPr="00165FB0">
              <w:rPr>
                <w:rFonts w:ascii="Aptos" w:hAnsi="Aptos"/>
                <w:sz w:val="28"/>
                <w:szCs w:val="26"/>
                <w:lang w:val="es-CL"/>
              </w:rPr>
              <w:t>Este levantamiento puede incluir análisis específicos tales como:</w:t>
            </w:r>
          </w:p>
          <w:p w14:paraId="312ED07F" w14:textId="77777777" w:rsidR="002315DF" w:rsidRPr="002315DF" w:rsidRDefault="002315DF" w:rsidP="002315DF">
            <w:pPr>
              <w:pStyle w:val="Textoindependiente"/>
              <w:numPr>
                <w:ilvl w:val="0"/>
                <w:numId w:val="57"/>
              </w:numPr>
              <w:spacing w:line="276" w:lineRule="auto"/>
              <w:ind w:right="152"/>
              <w:jc w:val="both"/>
              <w:rPr>
                <w:rFonts w:ascii="Aptos" w:hAnsi="Aptos"/>
                <w:sz w:val="28"/>
                <w:szCs w:val="26"/>
                <w:lang w:val="es-CL"/>
              </w:rPr>
            </w:pPr>
            <w:r w:rsidRPr="002315DF">
              <w:rPr>
                <w:rFonts w:ascii="Aptos" w:hAnsi="Aptos"/>
                <w:sz w:val="28"/>
                <w:szCs w:val="26"/>
                <w:lang w:val="es-CL"/>
              </w:rPr>
              <w:t>¿Se garantiza que solo el personal competente maneja incidentes de seguridad de la información?</w:t>
            </w:r>
          </w:p>
          <w:p w14:paraId="6C015E7E" w14:textId="77777777" w:rsidR="002315DF" w:rsidRPr="002315DF" w:rsidRDefault="002315DF" w:rsidP="002315DF">
            <w:pPr>
              <w:pStyle w:val="Textoindependiente"/>
              <w:numPr>
                <w:ilvl w:val="1"/>
                <w:numId w:val="57"/>
              </w:numPr>
              <w:spacing w:line="276" w:lineRule="auto"/>
              <w:ind w:right="152"/>
              <w:jc w:val="both"/>
              <w:rPr>
                <w:rFonts w:ascii="Aptos" w:hAnsi="Aptos"/>
                <w:sz w:val="28"/>
                <w:szCs w:val="26"/>
                <w:lang w:val="es-CL"/>
              </w:rPr>
            </w:pPr>
            <w:r w:rsidRPr="002315DF">
              <w:rPr>
                <w:rFonts w:ascii="Aptos" w:hAnsi="Aptos"/>
                <w:sz w:val="28"/>
                <w:szCs w:val="26"/>
                <w:lang w:val="es-CL"/>
              </w:rPr>
              <w:t>¿Se han identificado claramente las necesidades de capacitación y certificación?</w:t>
            </w:r>
          </w:p>
          <w:p w14:paraId="0B92F71F" w14:textId="77777777" w:rsidR="002315DF" w:rsidRPr="002315DF" w:rsidRDefault="002315DF" w:rsidP="002315DF">
            <w:pPr>
              <w:pStyle w:val="Textoindependiente"/>
              <w:numPr>
                <w:ilvl w:val="1"/>
                <w:numId w:val="57"/>
              </w:numPr>
              <w:spacing w:line="276" w:lineRule="auto"/>
              <w:ind w:right="152"/>
              <w:jc w:val="both"/>
              <w:rPr>
                <w:rFonts w:ascii="Aptos" w:hAnsi="Aptos"/>
                <w:sz w:val="28"/>
                <w:szCs w:val="26"/>
                <w:lang w:val="es-CL"/>
              </w:rPr>
            </w:pPr>
            <w:r w:rsidRPr="002315DF">
              <w:rPr>
                <w:rFonts w:ascii="Aptos" w:hAnsi="Aptos"/>
                <w:sz w:val="28"/>
                <w:szCs w:val="26"/>
                <w:lang w:val="es-CL"/>
              </w:rPr>
              <w:t>¿Se realiza formación continua y actualización para el personal involucrado en la gestión de incidentes?</w:t>
            </w:r>
          </w:p>
          <w:p w14:paraId="62D21081" w14:textId="77777777" w:rsidR="002315DF" w:rsidRPr="002315DF" w:rsidRDefault="002315DF" w:rsidP="002315DF">
            <w:pPr>
              <w:pStyle w:val="Textoindependiente"/>
              <w:numPr>
                <w:ilvl w:val="0"/>
                <w:numId w:val="58"/>
              </w:numPr>
              <w:spacing w:line="276" w:lineRule="auto"/>
              <w:ind w:right="152"/>
              <w:jc w:val="both"/>
              <w:rPr>
                <w:rFonts w:ascii="Aptos" w:hAnsi="Aptos"/>
                <w:sz w:val="28"/>
                <w:szCs w:val="26"/>
                <w:lang w:val="es-CL"/>
              </w:rPr>
            </w:pPr>
            <w:r w:rsidRPr="002315DF">
              <w:rPr>
                <w:rFonts w:ascii="Aptos" w:hAnsi="Aptos"/>
                <w:sz w:val="28"/>
                <w:szCs w:val="26"/>
                <w:lang w:val="es-CL"/>
              </w:rPr>
              <w:t>¿Comprenden los responsables de la gestión de incidentes las prioridades de la organización?</w:t>
            </w:r>
          </w:p>
          <w:p w14:paraId="2FD009A5" w14:textId="77777777" w:rsidR="002315DF" w:rsidRPr="002315DF" w:rsidRDefault="002315DF" w:rsidP="002315DF">
            <w:pPr>
              <w:pStyle w:val="Textoindependiente"/>
              <w:numPr>
                <w:ilvl w:val="1"/>
                <w:numId w:val="58"/>
              </w:numPr>
              <w:spacing w:line="276" w:lineRule="auto"/>
              <w:ind w:right="152"/>
              <w:jc w:val="both"/>
              <w:rPr>
                <w:rFonts w:ascii="Aptos" w:hAnsi="Aptos"/>
                <w:sz w:val="28"/>
                <w:szCs w:val="26"/>
                <w:lang w:val="es-CL"/>
              </w:rPr>
            </w:pPr>
            <w:r w:rsidRPr="002315DF">
              <w:rPr>
                <w:rFonts w:ascii="Aptos" w:hAnsi="Aptos"/>
                <w:sz w:val="28"/>
                <w:szCs w:val="26"/>
                <w:lang w:val="es-CL"/>
              </w:rPr>
              <w:t>¿Se tiene en cuenta el tiempo de resolución en función de las posibles consecuencias y la gravedad del incidente?</w:t>
            </w:r>
          </w:p>
          <w:p w14:paraId="5B0EBE2E" w14:textId="77777777" w:rsidR="002315DF" w:rsidRPr="002315DF" w:rsidRDefault="002315DF" w:rsidP="002315DF">
            <w:pPr>
              <w:pStyle w:val="Textoindependiente"/>
              <w:numPr>
                <w:ilvl w:val="1"/>
                <w:numId w:val="58"/>
              </w:numPr>
              <w:spacing w:line="276" w:lineRule="auto"/>
              <w:ind w:right="152"/>
              <w:jc w:val="both"/>
              <w:rPr>
                <w:rFonts w:ascii="Aptos" w:hAnsi="Aptos"/>
                <w:sz w:val="28"/>
                <w:szCs w:val="26"/>
                <w:lang w:val="es-CL"/>
              </w:rPr>
            </w:pPr>
            <w:r w:rsidRPr="002315DF">
              <w:rPr>
                <w:rFonts w:ascii="Aptos" w:hAnsi="Aptos"/>
                <w:sz w:val="28"/>
                <w:szCs w:val="26"/>
                <w:lang w:val="es-CL"/>
              </w:rPr>
              <w:t>¿Existen procedimientos específicos para la priorización y escalación de incidentes críticos?</w:t>
            </w:r>
          </w:p>
          <w:p w14:paraId="76473E39" w14:textId="77777777" w:rsidR="002315DF" w:rsidRPr="0009568A" w:rsidRDefault="002315DF" w:rsidP="00CA4861">
            <w:pPr>
              <w:pStyle w:val="Textoindependiente"/>
              <w:spacing w:line="276" w:lineRule="auto"/>
              <w:ind w:left="0" w:right="152"/>
              <w:jc w:val="both"/>
              <w:rPr>
                <w:rFonts w:ascii="Aptos" w:hAnsi="Aptos"/>
                <w:sz w:val="28"/>
                <w:szCs w:val="26"/>
                <w:lang w:val="es-CL"/>
              </w:rPr>
            </w:pPr>
          </w:p>
        </w:tc>
      </w:tr>
    </w:tbl>
    <w:p w14:paraId="5B8C20AF" w14:textId="77777777" w:rsidR="002315DF" w:rsidRPr="007D390E" w:rsidRDefault="002315DF" w:rsidP="0009568A">
      <w:pPr>
        <w:pStyle w:val="Textoindependiente"/>
        <w:spacing w:before="153" w:line="276" w:lineRule="auto"/>
        <w:ind w:left="0"/>
        <w:jc w:val="both"/>
        <w:rPr>
          <w:rFonts w:ascii="Aptos" w:hAnsi="Aptos"/>
        </w:rPr>
      </w:pPr>
    </w:p>
    <w:sectPr w:rsidR="002315DF" w:rsidRPr="007D390E" w:rsidSect="00C63449">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5D889C0" w14:textId="77777777" w:rsidR="008F4164" w:rsidRDefault="008F4164">
      <w:r>
        <w:separator/>
      </w:r>
    </w:p>
  </w:endnote>
  <w:endnote w:type="continuationSeparator" w:id="0">
    <w:p w14:paraId="10F6A9B1" w14:textId="77777777" w:rsidR="008F4164" w:rsidRDefault="008F41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iberation Sans">
    <w:altName w:val="Arial"/>
    <w:charset w:val="00"/>
    <w:family w:val="swiss"/>
    <w:pitch w:val="variable"/>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4D3816B" w14:textId="77777777" w:rsidR="008F4164" w:rsidRDefault="008F4164">
      <w:r>
        <w:separator/>
      </w:r>
    </w:p>
  </w:footnote>
  <w:footnote w:type="continuationSeparator" w:id="0">
    <w:p w14:paraId="3D79BB0C" w14:textId="77777777" w:rsidR="008F4164" w:rsidRDefault="008F41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1A0B68" w14:textId="5A6C86BA" w:rsidR="006645E8" w:rsidRDefault="000F595F" w:rsidP="0025287F">
    <w:pPr>
      <w:pStyle w:val="Encabezado"/>
      <w:jc w:val="center"/>
    </w:pPr>
    <w:r>
      <w:rPr>
        <w:noProof/>
      </w:rPr>
      <w:drawing>
        <wp:anchor distT="0" distB="0" distL="114300" distR="114300" simplePos="0" relativeHeight="251658752"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6C5210">
      <w:t>0</w:t>
    </w:r>
    <w:r w:rsidR="00476B7C">
      <w:t>6</w:t>
    </w:r>
    <w:r w:rsidR="00C7129A">
      <w:t xml:space="preserve"> </w:t>
    </w:r>
    <w:r w:rsidR="000246B5">
      <w:t>–</w:t>
    </w:r>
    <w:r w:rsidR="0025287F">
      <w:t xml:space="preserve"> </w:t>
    </w:r>
    <w:r w:rsidR="0006261F">
      <w:t>Políticas y Procedimientos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87484"/>
    <w:multiLevelType w:val="multilevel"/>
    <w:tmpl w:val="698ED5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135365"/>
    <w:multiLevelType w:val="hybridMultilevel"/>
    <w:tmpl w:val="45B22F7E"/>
    <w:lvl w:ilvl="0" w:tplc="51F8F37C">
      <w:start w:val="1"/>
      <w:numFmt w:val="decimal"/>
      <w:lvlText w:val="%1."/>
      <w:lvlJc w:val="left"/>
      <w:pPr>
        <w:ind w:left="586" w:hanging="487"/>
      </w:pPr>
      <w:rPr>
        <w:rFonts w:ascii="Liberation Sans" w:eastAsia="Liberation Sans" w:hAnsi="Liberation Sans" w:cs="Liberation Sans" w:hint="default"/>
        <w:b/>
        <w:bCs/>
        <w:spacing w:val="-5"/>
        <w:w w:val="100"/>
        <w:sz w:val="45"/>
        <w:szCs w:val="45"/>
        <w:lang w:val="es-ES" w:eastAsia="en-US" w:bidi="ar-SA"/>
      </w:rPr>
    </w:lvl>
    <w:lvl w:ilvl="1" w:tplc="84E8226A">
      <w:start w:val="1"/>
      <w:numFmt w:val="decimal"/>
      <w:lvlText w:val="%2."/>
      <w:lvlJc w:val="left"/>
      <w:pPr>
        <w:ind w:left="531" w:hanging="312"/>
      </w:pPr>
      <w:rPr>
        <w:rFonts w:ascii="Liberation Sans" w:eastAsia="Liberation Sans" w:hAnsi="Liberation Sans" w:cs="Liberation Sans" w:hint="default"/>
        <w:spacing w:val="-14"/>
        <w:w w:val="100"/>
        <w:sz w:val="24"/>
        <w:szCs w:val="24"/>
        <w:lang w:val="es-ES" w:eastAsia="en-US" w:bidi="ar-SA"/>
      </w:rPr>
    </w:lvl>
    <w:lvl w:ilvl="2" w:tplc="A62C5B4E">
      <w:numFmt w:val="bullet"/>
      <w:lvlText w:val="•"/>
      <w:lvlJc w:val="left"/>
      <w:pPr>
        <w:ind w:left="1580" w:hanging="312"/>
      </w:pPr>
      <w:rPr>
        <w:rFonts w:hint="default"/>
        <w:lang w:val="es-ES" w:eastAsia="en-US" w:bidi="ar-SA"/>
      </w:rPr>
    </w:lvl>
    <w:lvl w:ilvl="3" w:tplc="2EB67126">
      <w:numFmt w:val="bullet"/>
      <w:lvlText w:val="•"/>
      <w:lvlJc w:val="left"/>
      <w:pPr>
        <w:ind w:left="2580" w:hanging="312"/>
      </w:pPr>
      <w:rPr>
        <w:rFonts w:hint="default"/>
        <w:lang w:val="es-ES" w:eastAsia="en-US" w:bidi="ar-SA"/>
      </w:rPr>
    </w:lvl>
    <w:lvl w:ilvl="4" w:tplc="3252C3E4">
      <w:numFmt w:val="bullet"/>
      <w:lvlText w:val="•"/>
      <w:lvlJc w:val="left"/>
      <w:pPr>
        <w:ind w:left="3580" w:hanging="312"/>
      </w:pPr>
      <w:rPr>
        <w:rFonts w:hint="default"/>
        <w:lang w:val="es-ES" w:eastAsia="en-US" w:bidi="ar-SA"/>
      </w:rPr>
    </w:lvl>
    <w:lvl w:ilvl="5" w:tplc="B2F4E280">
      <w:numFmt w:val="bullet"/>
      <w:lvlText w:val="•"/>
      <w:lvlJc w:val="left"/>
      <w:pPr>
        <w:ind w:left="4580" w:hanging="312"/>
      </w:pPr>
      <w:rPr>
        <w:rFonts w:hint="default"/>
        <w:lang w:val="es-ES" w:eastAsia="en-US" w:bidi="ar-SA"/>
      </w:rPr>
    </w:lvl>
    <w:lvl w:ilvl="6" w:tplc="D92A9828">
      <w:numFmt w:val="bullet"/>
      <w:lvlText w:val="•"/>
      <w:lvlJc w:val="left"/>
      <w:pPr>
        <w:ind w:left="5580" w:hanging="312"/>
      </w:pPr>
      <w:rPr>
        <w:rFonts w:hint="default"/>
        <w:lang w:val="es-ES" w:eastAsia="en-US" w:bidi="ar-SA"/>
      </w:rPr>
    </w:lvl>
    <w:lvl w:ilvl="7" w:tplc="E146EF9E">
      <w:numFmt w:val="bullet"/>
      <w:lvlText w:val="•"/>
      <w:lvlJc w:val="left"/>
      <w:pPr>
        <w:ind w:left="6580" w:hanging="312"/>
      </w:pPr>
      <w:rPr>
        <w:rFonts w:hint="default"/>
        <w:lang w:val="es-ES" w:eastAsia="en-US" w:bidi="ar-SA"/>
      </w:rPr>
    </w:lvl>
    <w:lvl w:ilvl="8" w:tplc="0E402FF6">
      <w:numFmt w:val="bullet"/>
      <w:lvlText w:val="•"/>
      <w:lvlJc w:val="left"/>
      <w:pPr>
        <w:ind w:left="7580" w:hanging="312"/>
      </w:pPr>
      <w:rPr>
        <w:rFonts w:hint="default"/>
        <w:lang w:val="es-ES" w:eastAsia="en-US" w:bidi="ar-SA"/>
      </w:rPr>
    </w:lvl>
  </w:abstractNum>
  <w:abstractNum w:abstractNumId="2"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0B3F2905"/>
    <w:multiLevelType w:val="multilevel"/>
    <w:tmpl w:val="A73668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C733B0C"/>
    <w:multiLevelType w:val="multilevel"/>
    <w:tmpl w:val="F49EE7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C7811AD"/>
    <w:multiLevelType w:val="multilevel"/>
    <w:tmpl w:val="A350B7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05A6F91"/>
    <w:multiLevelType w:val="multilevel"/>
    <w:tmpl w:val="BAE0A9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2B97E74"/>
    <w:multiLevelType w:val="multilevel"/>
    <w:tmpl w:val="EB8287F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8D736AA"/>
    <w:multiLevelType w:val="multilevel"/>
    <w:tmpl w:val="B166375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C0C37EA"/>
    <w:multiLevelType w:val="multilevel"/>
    <w:tmpl w:val="789C66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CDE18CD"/>
    <w:multiLevelType w:val="multilevel"/>
    <w:tmpl w:val="26E0D0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1E265378"/>
    <w:multiLevelType w:val="multilevel"/>
    <w:tmpl w:val="EBC0CD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5B6609C"/>
    <w:multiLevelType w:val="multilevel"/>
    <w:tmpl w:val="35E04CA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4" w15:restartNumberingAfterBreak="0">
    <w:nsid w:val="28660853"/>
    <w:multiLevelType w:val="multilevel"/>
    <w:tmpl w:val="EB8E48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8D958FC"/>
    <w:multiLevelType w:val="multilevel"/>
    <w:tmpl w:val="2D62629C"/>
    <w:lvl w:ilvl="0">
      <w:start w:val="1"/>
      <w:numFmt w:val="decimal"/>
      <w:lvlText w:val="%1."/>
      <w:lvlJc w:val="left"/>
      <w:pPr>
        <w:tabs>
          <w:tab w:val="num" w:pos="700"/>
        </w:tabs>
        <w:ind w:left="700" w:hanging="360"/>
      </w:pPr>
    </w:lvl>
    <w:lvl w:ilvl="1" w:tentative="1">
      <w:start w:val="1"/>
      <w:numFmt w:val="decimal"/>
      <w:lvlText w:val="%2."/>
      <w:lvlJc w:val="left"/>
      <w:pPr>
        <w:tabs>
          <w:tab w:val="num" w:pos="1420"/>
        </w:tabs>
        <w:ind w:left="1420" w:hanging="360"/>
      </w:pPr>
    </w:lvl>
    <w:lvl w:ilvl="2" w:tentative="1">
      <w:start w:val="1"/>
      <w:numFmt w:val="decimal"/>
      <w:lvlText w:val="%3."/>
      <w:lvlJc w:val="left"/>
      <w:pPr>
        <w:tabs>
          <w:tab w:val="num" w:pos="2140"/>
        </w:tabs>
        <w:ind w:left="2140" w:hanging="360"/>
      </w:pPr>
    </w:lvl>
    <w:lvl w:ilvl="3" w:tentative="1">
      <w:start w:val="1"/>
      <w:numFmt w:val="decimal"/>
      <w:lvlText w:val="%4."/>
      <w:lvlJc w:val="left"/>
      <w:pPr>
        <w:tabs>
          <w:tab w:val="num" w:pos="2860"/>
        </w:tabs>
        <w:ind w:left="2860" w:hanging="360"/>
      </w:pPr>
    </w:lvl>
    <w:lvl w:ilvl="4" w:tentative="1">
      <w:start w:val="1"/>
      <w:numFmt w:val="decimal"/>
      <w:lvlText w:val="%5."/>
      <w:lvlJc w:val="left"/>
      <w:pPr>
        <w:tabs>
          <w:tab w:val="num" w:pos="3580"/>
        </w:tabs>
        <w:ind w:left="3580" w:hanging="360"/>
      </w:pPr>
    </w:lvl>
    <w:lvl w:ilvl="5" w:tentative="1">
      <w:start w:val="1"/>
      <w:numFmt w:val="decimal"/>
      <w:lvlText w:val="%6."/>
      <w:lvlJc w:val="left"/>
      <w:pPr>
        <w:tabs>
          <w:tab w:val="num" w:pos="4300"/>
        </w:tabs>
        <w:ind w:left="4300" w:hanging="360"/>
      </w:pPr>
    </w:lvl>
    <w:lvl w:ilvl="6" w:tentative="1">
      <w:start w:val="1"/>
      <w:numFmt w:val="decimal"/>
      <w:lvlText w:val="%7."/>
      <w:lvlJc w:val="left"/>
      <w:pPr>
        <w:tabs>
          <w:tab w:val="num" w:pos="5020"/>
        </w:tabs>
        <w:ind w:left="5020" w:hanging="360"/>
      </w:pPr>
    </w:lvl>
    <w:lvl w:ilvl="7" w:tentative="1">
      <w:start w:val="1"/>
      <w:numFmt w:val="decimal"/>
      <w:lvlText w:val="%8."/>
      <w:lvlJc w:val="left"/>
      <w:pPr>
        <w:tabs>
          <w:tab w:val="num" w:pos="5740"/>
        </w:tabs>
        <w:ind w:left="5740" w:hanging="360"/>
      </w:pPr>
    </w:lvl>
    <w:lvl w:ilvl="8" w:tentative="1">
      <w:start w:val="1"/>
      <w:numFmt w:val="decimal"/>
      <w:lvlText w:val="%9."/>
      <w:lvlJc w:val="left"/>
      <w:pPr>
        <w:tabs>
          <w:tab w:val="num" w:pos="6460"/>
        </w:tabs>
        <w:ind w:left="6460" w:hanging="360"/>
      </w:pPr>
    </w:lvl>
  </w:abstractNum>
  <w:abstractNum w:abstractNumId="16" w15:restartNumberingAfterBreak="0">
    <w:nsid w:val="29735B93"/>
    <w:multiLevelType w:val="multilevel"/>
    <w:tmpl w:val="D46E211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18" w15:restartNumberingAfterBreak="0">
    <w:nsid w:val="335A3991"/>
    <w:multiLevelType w:val="multilevel"/>
    <w:tmpl w:val="76343F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4F903FC"/>
    <w:multiLevelType w:val="multilevel"/>
    <w:tmpl w:val="0C10FF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B6F4CB2"/>
    <w:multiLevelType w:val="multilevel"/>
    <w:tmpl w:val="1C9C143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BAC0845"/>
    <w:multiLevelType w:val="multilevel"/>
    <w:tmpl w:val="D434530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BF9783A"/>
    <w:multiLevelType w:val="multilevel"/>
    <w:tmpl w:val="551CAE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4" w15:restartNumberingAfterBreak="0">
    <w:nsid w:val="3E270DD3"/>
    <w:multiLevelType w:val="multilevel"/>
    <w:tmpl w:val="16DEC5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6" w15:restartNumberingAfterBreak="0">
    <w:nsid w:val="42667B38"/>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7" w15:restartNumberingAfterBreak="0">
    <w:nsid w:val="44995AF9"/>
    <w:multiLevelType w:val="multilevel"/>
    <w:tmpl w:val="BC849B66"/>
    <w:lvl w:ilvl="0">
      <w:start w:val="1"/>
      <w:numFmt w:val="decimal"/>
      <w:lvlText w:val="%1."/>
      <w:lvlJc w:val="left"/>
      <w:pPr>
        <w:tabs>
          <w:tab w:val="num" w:pos="720"/>
        </w:tabs>
        <w:ind w:left="720" w:hanging="360"/>
      </w:pPr>
      <w:rPr>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29"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0" w15:restartNumberingAfterBreak="0">
    <w:nsid w:val="482F00B3"/>
    <w:multiLevelType w:val="multilevel"/>
    <w:tmpl w:val="FEA4660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4C230F08"/>
    <w:multiLevelType w:val="hybridMultilevel"/>
    <w:tmpl w:val="C2C6BF1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2" w15:restartNumberingAfterBreak="0">
    <w:nsid w:val="5019187F"/>
    <w:multiLevelType w:val="multilevel"/>
    <w:tmpl w:val="0FC68F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50370F0B"/>
    <w:multiLevelType w:val="multilevel"/>
    <w:tmpl w:val="8A4869D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52530748"/>
    <w:multiLevelType w:val="multilevel"/>
    <w:tmpl w:val="E87213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63863DC"/>
    <w:multiLevelType w:val="multilevel"/>
    <w:tmpl w:val="6B12200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37" w15:restartNumberingAfterBreak="0">
    <w:nsid w:val="56D02E10"/>
    <w:multiLevelType w:val="multilevel"/>
    <w:tmpl w:val="BB22AD7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57EE155B"/>
    <w:multiLevelType w:val="multilevel"/>
    <w:tmpl w:val="FAC26F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5A01129D"/>
    <w:multiLevelType w:val="multilevel"/>
    <w:tmpl w:val="96244E7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41" w15:restartNumberingAfterBreak="0">
    <w:nsid w:val="5E146C1E"/>
    <w:multiLevelType w:val="multilevel"/>
    <w:tmpl w:val="0FD48D22"/>
    <w:lvl w:ilvl="0">
      <w:start w:val="1"/>
      <w:numFmt w:val="decimal"/>
      <w:lvlText w:val="%1."/>
      <w:lvlJc w:val="left"/>
      <w:pPr>
        <w:tabs>
          <w:tab w:val="num" w:pos="1060"/>
        </w:tabs>
        <w:ind w:left="1060" w:hanging="360"/>
      </w:pPr>
    </w:lvl>
    <w:lvl w:ilvl="1" w:tentative="1">
      <w:start w:val="1"/>
      <w:numFmt w:val="decimal"/>
      <w:lvlText w:val="%2."/>
      <w:lvlJc w:val="left"/>
      <w:pPr>
        <w:tabs>
          <w:tab w:val="num" w:pos="1780"/>
        </w:tabs>
        <w:ind w:left="1780" w:hanging="360"/>
      </w:pPr>
    </w:lvl>
    <w:lvl w:ilvl="2" w:tentative="1">
      <w:start w:val="1"/>
      <w:numFmt w:val="decimal"/>
      <w:lvlText w:val="%3."/>
      <w:lvlJc w:val="left"/>
      <w:pPr>
        <w:tabs>
          <w:tab w:val="num" w:pos="2500"/>
        </w:tabs>
        <w:ind w:left="2500" w:hanging="360"/>
      </w:pPr>
    </w:lvl>
    <w:lvl w:ilvl="3" w:tentative="1">
      <w:start w:val="1"/>
      <w:numFmt w:val="decimal"/>
      <w:lvlText w:val="%4."/>
      <w:lvlJc w:val="left"/>
      <w:pPr>
        <w:tabs>
          <w:tab w:val="num" w:pos="3220"/>
        </w:tabs>
        <w:ind w:left="3220" w:hanging="360"/>
      </w:pPr>
    </w:lvl>
    <w:lvl w:ilvl="4" w:tentative="1">
      <w:start w:val="1"/>
      <w:numFmt w:val="decimal"/>
      <w:lvlText w:val="%5."/>
      <w:lvlJc w:val="left"/>
      <w:pPr>
        <w:tabs>
          <w:tab w:val="num" w:pos="3940"/>
        </w:tabs>
        <w:ind w:left="3940" w:hanging="360"/>
      </w:pPr>
    </w:lvl>
    <w:lvl w:ilvl="5" w:tentative="1">
      <w:start w:val="1"/>
      <w:numFmt w:val="decimal"/>
      <w:lvlText w:val="%6."/>
      <w:lvlJc w:val="left"/>
      <w:pPr>
        <w:tabs>
          <w:tab w:val="num" w:pos="4660"/>
        </w:tabs>
        <w:ind w:left="4660" w:hanging="360"/>
      </w:pPr>
    </w:lvl>
    <w:lvl w:ilvl="6" w:tentative="1">
      <w:start w:val="1"/>
      <w:numFmt w:val="decimal"/>
      <w:lvlText w:val="%7."/>
      <w:lvlJc w:val="left"/>
      <w:pPr>
        <w:tabs>
          <w:tab w:val="num" w:pos="5380"/>
        </w:tabs>
        <w:ind w:left="5380" w:hanging="360"/>
      </w:pPr>
    </w:lvl>
    <w:lvl w:ilvl="7" w:tentative="1">
      <w:start w:val="1"/>
      <w:numFmt w:val="decimal"/>
      <w:lvlText w:val="%8."/>
      <w:lvlJc w:val="left"/>
      <w:pPr>
        <w:tabs>
          <w:tab w:val="num" w:pos="6100"/>
        </w:tabs>
        <w:ind w:left="6100" w:hanging="360"/>
      </w:pPr>
    </w:lvl>
    <w:lvl w:ilvl="8" w:tentative="1">
      <w:start w:val="1"/>
      <w:numFmt w:val="decimal"/>
      <w:lvlText w:val="%9."/>
      <w:lvlJc w:val="left"/>
      <w:pPr>
        <w:tabs>
          <w:tab w:val="num" w:pos="6820"/>
        </w:tabs>
        <w:ind w:left="6820" w:hanging="360"/>
      </w:pPr>
    </w:lvl>
  </w:abstractNum>
  <w:abstractNum w:abstractNumId="42" w15:restartNumberingAfterBreak="0">
    <w:nsid w:val="5FA0422A"/>
    <w:multiLevelType w:val="multilevel"/>
    <w:tmpl w:val="FD96213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5FD12D16"/>
    <w:multiLevelType w:val="multilevel"/>
    <w:tmpl w:val="B6EAB46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60740737"/>
    <w:multiLevelType w:val="hybridMultilevel"/>
    <w:tmpl w:val="E17A9DE2"/>
    <w:lvl w:ilvl="0" w:tplc="340A0001">
      <w:start w:val="1"/>
      <w:numFmt w:val="bullet"/>
      <w:lvlText w:val=""/>
      <w:lvlJc w:val="left"/>
      <w:pPr>
        <w:ind w:left="1117" w:hanging="360"/>
      </w:pPr>
      <w:rPr>
        <w:rFonts w:ascii="Symbol" w:hAnsi="Symbol" w:hint="default"/>
      </w:rPr>
    </w:lvl>
    <w:lvl w:ilvl="1" w:tplc="340A0003" w:tentative="1">
      <w:start w:val="1"/>
      <w:numFmt w:val="bullet"/>
      <w:lvlText w:val="o"/>
      <w:lvlJc w:val="left"/>
      <w:pPr>
        <w:ind w:left="1837" w:hanging="360"/>
      </w:pPr>
      <w:rPr>
        <w:rFonts w:ascii="Courier New" w:hAnsi="Courier New" w:cs="Courier New" w:hint="default"/>
      </w:rPr>
    </w:lvl>
    <w:lvl w:ilvl="2" w:tplc="340A0005" w:tentative="1">
      <w:start w:val="1"/>
      <w:numFmt w:val="bullet"/>
      <w:lvlText w:val=""/>
      <w:lvlJc w:val="left"/>
      <w:pPr>
        <w:ind w:left="2557" w:hanging="360"/>
      </w:pPr>
      <w:rPr>
        <w:rFonts w:ascii="Wingdings" w:hAnsi="Wingdings" w:hint="default"/>
      </w:rPr>
    </w:lvl>
    <w:lvl w:ilvl="3" w:tplc="340A0001" w:tentative="1">
      <w:start w:val="1"/>
      <w:numFmt w:val="bullet"/>
      <w:lvlText w:val=""/>
      <w:lvlJc w:val="left"/>
      <w:pPr>
        <w:ind w:left="3277" w:hanging="360"/>
      </w:pPr>
      <w:rPr>
        <w:rFonts w:ascii="Symbol" w:hAnsi="Symbol" w:hint="default"/>
      </w:rPr>
    </w:lvl>
    <w:lvl w:ilvl="4" w:tplc="340A0003" w:tentative="1">
      <w:start w:val="1"/>
      <w:numFmt w:val="bullet"/>
      <w:lvlText w:val="o"/>
      <w:lvlJc w:val="left"/>
      <w:pPr>
        <w:ind w:left="3997" w:hanging="360"/>
      </w:pPr>
      <w:rPr>
        <w:rFonts w:ascii="Courier New" w:hAnsi="Courier New" w:cs="Courier New" w:hint="default"/>
      </w:rPr>
    </w:lvl>
    <w:lvl w:ilvl="5" w:tplc="340A0005" w:tentative="1">
      <w:start w:val="1"/>
      <w:numFmt w:val="bullet"/>
      <w:lvlText w:val=""/>
      <w:lvlJc w:val="left"/>
      <w:pPr>
        <w:ind w:left="4717" w:hanging="360"/>
      </w:pPr>
      <w:rPr>
        <w:rFonts w:ascii="Wingdings" w:hAnsi="Wingdings" w:hint="default"/>
      </w:rPr>
    </w:lvl>
    <w:lvl w:ilvl="6" w:tplc="340A0001" w:tentative="1">
      <w:start w:val="1"/>
      <w:numFmt w:val="bullet"/>
      <w:lvlText w:val=""/>
      <w:lvlJc w:val="left"/>
      <w:pPr>
        <w:ind w:left="5437" w:hanging="360"/>
      </w:pPr>
      <w:rPr>
        <w:rFonts w:ascii="Symbol" w:hAnsi="Symbol" w:hint="default"/>
      </w:rPr>
    </w:lvl>
    <w:lvl w:ilvl="7" w:tplc="340A0003" w:tentative="1">
      <w:start w:val="1"/>
      <w:numFmt w:val="bullet"/>
      <w:lvlText w:val="o"/>
      <w:lvlJc w:val="left"/>
      <w:pPr>
        <w:ind w:left="6157" w:hanging="360"/>
      </w:pPr>
      <w:rPr>
        <w:rFonts w:ascii="Courier New" w:hAnsi="Courier New" w:cs="Courier New" w:hint="default"/>
      </w:rPr>
    </w:lvl>
    <w:lvl w:ilvl="8" w:tplc="340A0005" w:tentative="1">
      <w:start w:val="1"/>
      <w:numFmt w:val="bullet"/>
      <w:lvlText w:val=""/>
      <w:lvlJc w:val="left"/>
      <w:pPr>
        <w:ind w:left="6877" w:hanging="360"/>
      </w:pPr>
      <w:rPr>
        <w:rFonts w:ascii="Wingdings" w:hAnsi="Wingdings" w:hint="default"/>
      </w:rPr>
    </w:lvl>
  </w:abstractNum>
  <w:abstractNum w:abstractNumId="45" w15:restartNumberingAfterBreak="0">
    <w:nsid w:val="61123AE1"/>
    <w:multiLevelType w:val="multilevel"/>
    <w:tmpl w:val="FA7617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65C210D0"/>
    <w:multiLevelType w:val="multilevel"/>
    <w:tmpl w:val="7A580F8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66522CFE"/>
    <w:multiLevelType w:val="multilevel"/>
    <w:tmpl w:val="B108034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49"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0"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1" w15:restartNumberingAfterBreak="0">
    <w:nsid w:val="6DF82525"/>
    <w:multiLevelType w:val="multilevel"/>
    <w:tmpl w:val="51DE48A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6E7269A8"/>
    <w:multiLevelType w:val="multilevel"/>
    <w:tmpl w:val="37D4326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72BB475E"/>
    <w:multiLevelType w:val="multilevel"/>
    <w:tmpl w:val="54FE14B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15:restartNumberingAfterBreak="0">
    <w:nsid w:val="74E9613B"/>
    <w:multiLevelType w:val="multilevel"/>
    <w:tmpl w:val="DDC800B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6" w15:restartNumberingAfterBreak="0">
    <w:nsid w:val="7F6C228B"/>
    <w:multiLevelType w:val="multilevel"/>
    <w:tmpl w:val="ACA237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7F9B34B1"/>
    <w:multiLevelType w:val="multilevel"/>
    <w:tmpl w:val="51B05AC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93533499">
    <w:abstractNumId w:val="28"/>
  </w:num>
  <w:num w:numId="2" w16cid:durableId="1404184314">
    <w:abstractNumId w:val="25"/>
  </w:num>
  <w:num w:numId="3" w16cid:durableId="1099914322">
    <w:abstractNumId w:val="1"/>
  </w:num>
  <w:num w:numId="4" w16cid:durableId="1943151229">
    <w:abstractNumId w:val="48"/>
  </w:num>
  <w:num w:numId="5" w16cid:durableId="1786921379">
    <w:abstractNumId w:val="29"/>
  </w:num>
  <w:num w:numId="6" w16cid:durableId="856848971">
    <w:abstractNumId w:val="50"/>
  </w:num>
  <w:num w:numId="7" w16cid:durableId="1712148043">
    <w:abstractNumId w:val="49"/>
  </w:num>
  <w:num w:numId="8" w16cid:durableId="1357079744">
    <w:abstractNumId w:val="55"/>
  </w:num>
  <w:num w:numId="9" w16cid:durableId="1310667706">
    <w:abstractNumId w:val="17"/>
  </w:num>
  <w:num w:numId="10" w16cid:durableId="1276791157">
    <w:abstractNumId w:val="40"/>
  </w:num>
  <w:num w:numId="11" w16cid:durableId="1431462195">
    <w:abstractNumId w:val="23"/>
  </w:num>
  <w:num w:numId="12" w16cid:durableId="1286693919">
    <w:abstractNumId w:val="36"/>
  </w:num>
  <w:num w:numId="13" w16cid:durableId="203954231">
    <w:abstractNumId w:val="13"/>
  </w:num>
  <w:num w:numId="14" w16cid:durableId="1400640849">
    <w:abstractNumId w:val="2"/>
  </w:num>
  <w:num w:numId="15" w16cid:durableId="1790121739">
    <w:abstractNumId w:val="22"/>
  </w:num>
  <w:num w:numId="16" w16cid:durableId="1698461525">
    <w:abstractNumId w:val="56"/>
  </w:num>
  <w:num w:numId="17" w16cid:durableId="1610121020">
    <w:abstractNumId w:val="27"/>
  </w:num>
  <w:num w:numId="18" w16cid:durableId="880285992">
    <w:abstractNumId w:val="31"/>
  </w:num>
  <w:num w:numId="19" w16cid:durableId="97605721">
    <w:abstractNumId w:val="32"/>
  </w:num>
  <w:num w:numId="20" w16cid:durableId="162818876">
    <w:abstractNumId w:val="5"/>
  </w:num>
  <w:num w:numId="21" w16cid:durableId="2015723327">
    <w:abstractNumId w:val="54"/>
  </w:num>
  <w:num w:numId="22" w16cid:durableId="1310015900">
    <w:abstractNumId w:val="7"/>
  </w:num>
  <w:num w:numId="23" w16cid:durableId="751656463">
    <w:abstractNumId w:val="18"/>
  </w:num>
  <w:num w:numId="24" w16cid:durableId="1214082281">
    <w:abstractNumId w:val="11"/>
  </w:num>
  <w:num w:numId="25" w16cid:durableId="1183008216">
    <w:abstractNumId w:val="57"/>
  </w:num>
  <w:num w:numId="26" w16cid:durableId="127747155">
    <w:abstractNumId w:val="12"/>
  </w:num>
  <w:num w:numId="27" w16cid:durableId="2075347181">
    <w:abstractNumId w:val="41"/>
  </w:num>
  <w:num w:numId="28" w16cid:durableId="1681276479">
    <w:abstractNumId w:val="53"/>
  </w:num>
  <w:num w:numId="29" w16cid:durableId="900023105">
    <w:abstractNumId w:val="24"/>
  </w:num>
  <w:num w:numId="30" w16cid:durableId="904990499">
    <w:abstractNumId w:val="10"/>
  </w:num>
  <w:num w:numId="31" w16cid:durableId="1895965744">
    <w:abstractNumId w:val="4"/>
  </w:num>
  <w:num w:numId="32" w16cid:durableId="822701652">
    <w:abstractNumId w:val="3"/>
  </w:num>
  <w:num w:numId="33" w16cid:durableId="967778842">
    <w:abstractNumId w:val="33"/>
  </w:num>
  <w:num w:numId="34" w16cid:durableId="1437284397">
    <w:abstractNumId w:val="0"/>
  </w:num>
  <w:num w:numId="35" w16cid:durableId="997608324">
    <w:abstractNumId w:val="39"/>
  </w:num>
  <w:num w:numId="36" w16cid:durableId="661851878">
    <w:abstractNumId w:val="20"/>
  </w:num>
  <w:num w:numId="37" w16cid:durableId="1810124634">
    <w:abstractNumId w:val="34"/>
  </w:num>
  <w:num w:numId="38" w16cid:durableId="884564882">
    <w:abstractNumId w:val="21"/>
  </w:num>
  <w:num w:numId="39" w16cid:durableId="646058038">
    <w:abstractNumId w:val="6"/>
  </w:num>
  <w:num w:numId="40" w16cid:durableId="583801293">
    <w:abstractNumId w:val="9"/>
  </w:num>
  <w:num w:numId="41" w16cid:durableId="18627418">
    <w:abstractNumId w:val="14"/>
  </w:num>
  <w:num w:numId="42" w16cid:durableId="1296376058">
    <w:abstractNumId w:val="51"/>
  </w:num>
  <w:num w:numId="43" w16cid:durableId="1186409126">
    <w:abstractNumId w:val="47"/>
  </w:num>
  <w:num w:numId="44" w16cid:durableId="1432241595">
    <w:abstractNumId w:val="38"/>
  </w:num>
  <w:num w:numId="45" w16cid:durableId="1999728586">
    <w:abstractNumId w:val="46"/>
  </w:num>
  <w:num w:numId="46" w16cid:durableId="321738954">
    <w:abstractNumId w:val="45"/>
  </w:num>
  <w:num w:numId="47" w16cid:durableId="923297794">
    <w:abstractNumId w:val="15"/>
  </w:num>
  <w:num w:numId="48" w16cid:durableId="1147284433">
    <w:abstractNumId w:val="19"/>
  </w:num>
  <w:num w:numId="49" w16cid:durableId="1851092868">
    <w:abstractNumId w:val="44"/>
  </w:num>
  <w:num w:numId="50" w16cid:durableId="1949698956">
    <w:abstractNumId w:val="26"/>
  </w:num>
  <w:num w:numId="51" w16cid:durableId="849953721">
    <w:abstractNumId w:val="37"/>
  </w:num>
  <w:num w:numId="52" w16cid:durableId="1466697238">
    <w:abstractNumId w:val="35"/>
  </w:num>
  <w:num w:numId="53" w16cid:durableId="1327201933">
    <w:abstractNumId w:val="8"/>
  </w:num>
  <w:num w:numId="54" w16cid:durableId="1964843089">
    <w:abstractNumId w:val="30"/>
  </w:num>
  <w:num w:numId="55" w16cid:durableId="750926937">
    <w:abstractNumId w:val="52"/>
  </w:num>
  <w:num w:numId="56" w16cid:durableId="1073429305">
    <w:abstractNumId w:val="43"/>
  </w:num>
  <w:num w:numId="57" w16cid:durableId="1982493110">
    <w:abstractNumId w:val="42"/>
  </w:num>
  <w:num w:numId="58" w16cid:durableId="1640376065">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246B5"/>
    <w:rsid w:val="00033DAF"/>
    <w:rsid w:val="00036E9A"/>
    <w:rsid w:val="0006261F"/>
    <w:rsid w:val="00063E7D"/>
    <w:rsid w:val="0008623E"/>
    <w:rsid w:val="0009568A"/>
    <w:rsid w:val="000B644D"/>
    <w:rsid w:val="000D2973"/>
    <w:rsid w:val="000D6E8E"/>
    <w:rsid w:val="000E76B6"/>
    <w:rsid w:val="000F595F"/>
    <w:rsid w:val="00140646"/>
    <w:rsid w:val="0016576D"/>
    <w:rsid w:val="00165FB0"/>
    <w:rsid w:val="00180A85"/>
    <w:rsid w:val="001842BB"/>
    <w:rsid w:val="001B16C7"/>
    <w:rsid w:val="001C1C17"/>
    <w:rsid w:val="001D5653"/>
    <w:rsid w:val="0022448B"/>
    <w:rsid w:val="002315DF"/>
    <w:rsid w:val="0025287F"/>
    <w:rsid w:val="002A68A6"/>
    <w:rsid w:val="002D1F14"/>
    <w:rsid w:val="002D6660"/>
    <w:rsid w:val="002F2ECC"/>
    <w:rsid w:val="0030526A"/>
    <w:rsid w:val="00327358"/>
    <w:rsid w:val="00331CC8"/>
    <w:rsid w:val="0034166E"/>
    <w:rsid w:val="00341B64"/>
    <w:rsid w:val="00362672"/>
    <w:rsid w:val="00362B37"/>
    <w:rsid w:val="0039062C"/>
    <w:rsid w:val="004044F5"/>
    <w:rsid w:val="0042215A"/>
    <w:rsid w:val="00424A31"/>
    <w:rsid w:val="00434990"/>
    <w:rsid w:val="004377D6"/>
    <w:rsid w:val="00440386"/>
    <w:rsid w:val="004440DF"/>
    <w:rsid w:val="00470ABB"/>
    <w:rsid w:val="00476B7C"/>
    <w:rsid w:val="004940B9"/>
    <w:rsid w:val="004E33CF"/>
    <w:rsid w:val="004E480A"/>
    <w:rsid w:val="00507F2E"/>
    <w:rsid w:val="00514093"/>
    <w:rsid w:val="00564FB8"/>
    <w:rsid w:val="0056582C"/>
    <w:rsid w:val="005A0F63"/>
    <w:rsid w:val="005B41EC"/>
    <w:rsid w:val="005B4316"/>
    <w:rsid w:val="005C3051"/>
    <w:rsid w:val="005F1DB2"/>
    <w:rsid w:val="00613550"/>
    <w:rsid w:val="00620CC8"/>
    <w:rsid w:val="00654DBE"/>
    <w:rsid w:val="006645E8"/>
    <w:rsid w:val="006706B4"/>
    <w:rsid w:val="00687E2D"/>
    <w:rsid w:val="006968BB"/>
    <w:rsid w:val="006A3143"/>
    <w:rsid w:val="006A5623"/>
    <w:rsid w:val="006B73C2"/>
    <w:rsid w:val="006C5210"/>
    <w:rsid w:val="0072251B"/>
    <w:rsid w:val="00727145"/>
    <w:rsid w:val="00771396"/>
    <w:rsid w:val="007766F8"/>
    <w:rsid w:val="00783A4C"/>
    <w:rsid w:val="007C6543"/>
    <w:rsid w:val="007D390E"/>
    <w:rsid w:val="007D73D1"/>
    <w:rsid w:val="007E2EBB"/>
    <w:rsid w:val="00816AE7"/>
    <w:rsid w:val="00831A84"/>
    <w:rsid w:val="0084692E"/>
    <w:rsid w:val="00863909"/>
    <w:rsid w:val="008738AA"/>
    <w:rsid w:val="00875B13"/>
    <w:rsid w:val="008A6369"/>
    <w:rsid w:val="008C2139"/>
    <w:rsid w:val="008F4164"/>
    <w:rsid w:val="00914009"/>
    <w:rsid w:val="009313B9"/>
    <w:rsid w:val="00956CBB"/>
    <w:rsid w:val="009B7D94"/>
    <w:rsid w:val="009D1231"/>
    <w:rsid w:val="00A32A6D"/>
    <w:rsid w:val="00A40309"/>
    <w:rsid w:val="00A40FA0"/>
    <w:rsid w:val="00A416F7"/>
    <w:rsid w:val="00A77756"/>
    <w:rsid w:val="00A80E3D"/>
    <w:rsid w:val="00AF3929"/>
    <w:rsid w:val="00AF7AC3"/>
    <w:rsid w:val="00B20977"/>
    <w:rsid w:val="00B22C8C"/>
    <w:rsid w:val="00B25168"/>
    <w:rsid w:val="00B633AA"/>
    <w:rsid w:val="00B82486"/>
    <w:rsid w:val="00BA5780"/>
    <w:rsid w:val="00BF5EDF"/>
    <w:rsid w:val="00C13ADB"/>
    <w:rsid w:val="00C2684B"/>
    <w:rsid w:val="00C3534B"/>
    <w:rsid w:val="00C63449"/>
    <w:rsid w:val="00C7129A"/>
    <w:rsid w:val="00CA655E"/>
    <w:rsid w:val="00CC2A9B"/>
    <w:rsid w:val="00D229ED"/>
    <w:rsid w:val="00D548C5"/>
    <w:rsid w:val="00D73C08"/>
    <w:rsid w:val="00E018C1"/>
    <w:rsid w:val="00E031DD"/>
    <w:rsid w:val="00E576F7"/>
    <w:rsid w:val="00E77347"/>
    <w:rsid w:val="00EA0579"/>
    <w:rsid w:val="00EB6FEF"/>
    <w:rsid w:val="00EE4452"/>
    <w:rsid w:val="00F02D0D"/>
    <w:rsid w:val="00F0646A"/>
    <w:rsid w:val="00F06B7F"/>
    <w:rsid w:val="00F515DB"/>
    <w:rsid w:val="00F62922"/>
    <w:rsid w:val="00F7131A"/>
    <w:rsid w:val="00F80F80"/>
    <w:rsid w:val="00F96E74"/>
    <w:rsid w:val="00FC1457"/>
    <w:rsid w:val="00FC146F"/>
    <w:rsid w:val="00FC7778"/>
    <w:rsid w:val="00FE6169"/>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paragraph" w:styleId="Ttulo4">
    <w:name w:val="heading 4"/>
    <w:basedOn w:val="Normal"/>
    <w:next w:val="Normal"/>
    <w:link w:val="Ttulo4Car"/>
    <w:uiPriority w:val="9"/>
    <w:semiHidden/>
    <w:unhideWhenUsed/>
    <w:qFormat/>
    <w:rsid w:val="0022448B"/>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tion-enable-hover">
    <w:name w:val="notion-enable-hover"/>
    <w:basedOn w:val="Fuentedeprrafopredeter"/>
    <w:rsid w:val="00CA655E"/>
  </w:style>
  <w:style w:type="paragraph" w:styleId="NormalWeb">
    <w:name w:val="Normal (Web)"/>
    <w:basedOn w:val="Normal"/>
    <w:uiPriority w:val="99"/>
    <w:semiHidden/>
    <w:unhideWhenUsed/>
    <w:rsid w:val="00F02D0D"/>
    <w:pPr>
      <w:widowControl/>
      <w:autoSpaceDE/>
      <w:autoSpaceDN/>
      <w:spacing w:before="100" w:beforeAutospacing="1" w:after="100" w:afterAutospacing="1"/>
    </w:pPr>
    <w:rPr>
      <w:rFonts w:ascii="Times New Roman" w:eastAsia="Times New Roman" w:hAnsi="Times New Roman" w:cs="Times New Roman"/>
      <w:sz w:val="24"/>
      <w:szCs w:val="24"/>
      <w:lang w:val="es-CL" w:eastAsia="es-CL"/>
    </w:rPr>
  </w:style>
  <w:style w:type="character" w:styleId="Textoennegrita">
    <w:name w:val="Strong"/>
    <w:basedOn w:val="Fuentedeprrafopredeter"/>
    <w:uiPriority w:val="22"/>
    <w:qFormat/>
    <w:rsid w:val="00F02D0D"/>
    <w:rPr>
      <w:b/>
      <w:bCs/>
    </w:rPr>
  </w:style>
  <w:style w:type="character" w:customStyle="1" w:styleId="Ttulo4Car">
    <w:name w:val="Título 4 Car"/>
    <w:basedOn w:val="Fuentedeprrafopredeter"/>
    <w:link w:val="Ttulo4"/>
    <w:uiPriority w:val="9"/>
    <w:semiHidden/>
    <w:rsid w:val="0022448B"/>
    <w:rPr>
      <w:rFonts w:asciiTheme="majorHAnsi" w:eastAsiaTheme="majorEastAsia" w:hAnsiTheme="majorHAnsi" w:cstheme="majorBidi"/>
      <w:i/>
      <w:iCs/>
      <w:color w:val="365F91" w:themeColor="accent1" w:themeShade="BF"/>
      <w:lang w:val="es-ES"/>
    </w:rPr>
  </w:style>
  <w:style w:type="paragraph" w:styleId="Sinespaciado">
    <w:name w:val="No Spacing"/>
    <w:uiPriority w:val="1"/>
    <w:qFormat/>
    <w:rsid w:val="00F7131A"/>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813068">
      <w:bodyDiv w:val="1"/>
      <w:marLeft w:val="0"/>
      <w:marRight w:val="0"/>
      <w:marTop w:val="0"/>
      <w:marBottom w:val="0"/>
      <w:divBdr>
        <w:top w:val="none" w:sz="0" w:space="0" w:color="auto"/>
        <w:left w:val="none" w:sz="0" w:space="0" w:color="auto"/>
        <w:bottom w:val="none" w:sz="0" w:space="0" w:color="auto"/>
        <w:right w:val="none" w:sz="0" w:space="0" w:color="auto"/>
      </w:divBdr>
    </w:div>
    <w:div w:id="50429785">
      <w:bodyDiv w:val="1"/>
      <w:marLeft w:val="0"/>
      <w:marRight w:val="0"/>
      <w:marTop w:val="0"/>
      <w:marBottom w:val="0"/>
      <w:divBdr>
        <w:top w:val="none" w:sz="0" w:space="0" w:color="auto"/>
        <w:left w:val="none" w:sz="0" w:space="0" w:color="auto"/>
        <w:bottom w:val="none" w:sz="0" w:space="0" w:color="auto"/>
        <w:right w:val="none" w:sz="0" w:space="0" w:color="auto"/>
      </w:divBdr>
    </w:div>
    <w:div w:id="69087566">
      <w:bodyDiv w:val="1"/>
      <w:marLeft w:val="0"/>
      <w:marRight w:val="0"/>
      <w:marTop w:val="0"/>
      <w:marBottom w:val="0"/>
      <w:divBdr>
        <w:top w:val="none" w:sz="0" w:space="0" w:color="auto"/>
        <w:left w:val="none" w:sz="0" w:space="0" w:color="auto"/>
        <w:bottom w:val="none" w:sz="0" w:space="0" w:color="auto"/>
        <w:right w:val="none" w:sz="0" w:space="0" w:color="auto"/>
      </w:divBdr>
    </w:div>
    <w:div w:id="73674170">
      <w:bodyDiv w:val="1"/>
      <w:marLeft w:val="0"/>
      <w:marRight w:val="0"/>
      <w:marTop w:val="0"/>
      <w:marBottom w:val="0"/>
      <w:divBdr>
        <w:top w:val="none" w:sz="0" w:space="0" w:color="auto"/>
        <w:left w:val="none" w:sz="0" w:space="0" w:color="auto"/>
        <w:bottom w:val="none" w:sz="0" w:space="0" w:color="auto"/>
        <w:right w:val="none" w:sz="0" w:space="0" w:color="auto"/>
      </w:divBdr>
    </w:div>
    <w:div w:id="85004811">
      <w:bodyDiv w:val="1"/>
      <w:marLeft w:val="0"/>
      <w:marRight w:val="0"/>
      <w:marTop w:val="0"/>
      <w:marBottom w:val="0"/>
      <w:divBdr>
        <w:top w:val="none" w:sz="0" w:space="0" w:color="auto"/>
        <w:left w:val="none" w:sz="0" w:space="0" w:color="auto"/>
        <w:bottom w:val="none" w:sz="0" w:space="0" w:color="auto"/>
        <w:right w:val="none" w:sz="0" w:space="0" w:color="auto"/>
      </w:divBdr>
    </w:div>
    <w:div w:id="127210902">
      <w:bodyDiv w:val="1"/>
      <w:marLeft w:val="0"/>
      <w:marRight w:val="0"/>
      <w:marTop w:val="0"/>
      <w:marBottom w:val="0"/>
      <w:divBdr>
        <w:top w:val="none" w:sz="0" w:space="0" w:color="auto"/>
        <w:left w:val="none" w:sz="0" w:space="0" w:color="auto"/>
        <w:bottom w:val="none" w:sz="0" w:space="0" w:color="auto"/>
        <w:right w:val="none" w:sz="0" w:space="0" w:color="auto"/>
      </w:divBdr>
    </w:div>
    <w:div w:id="140778773">
      <w:bodyDiv w:val="1"/>
      <w:marLeft w:val="0"/>
      <w:marRight w:val="0"/>
      <w:marTop w:val="0"/>
      <w:marBottom w:val="0"/>
      <w:divBdr>
        <w:top w:val="none" w:sz="0" w:space="0" w:color="auto"/>
        <w:left w:val="none" w:sz="0" w:space="0" w:color="auto"/>
        <w:bottom w:val="none" w:sz="0" w:space="0" w:color="auto"/>
        <w:right w:val="none" w:sz="0" w:space="0" w:color="auto"/>
      </w:divBdr>
    </w:div>
    <w:div w:id="148333520">
      <w:bodyDiv w:val="1"/>
      <w:marLeft w:val="0"/>
      <w:marRight w:val="0"/>
      <w:marTop w:val="0"/>
      <w:marBottom w:val="0"/>
      <w:divBdr>
        <w:top w:val="none" w:sz="0" w:space="0" w:color="auto"/>
        <w:left w:val="none" w:sz="0" w:space="0" w:color="auto"/>
        <w:bottom w:val="none" w:sz="0" w:space="0" w:color="auto"/>
        <w:right w:val="none" w:sz="0" w:space="0" w:color="auto"/>
      </w:divBdr>
    </w:div>
    <w:div w:id="207762705">
      <w:bodyDiv w:val="1"/>
      <w:marLeft w:val="0"/>
      <w:marRight w:val="0"/>
      <w:marTop w:val="0"/>
      <w:marBottom w:val="0"/>
      <w:divBdr>
        <w:top w:val="none" w:sz="0" w:space="0" w:color="auto"/>
        <w:left w:val="none" w:sz="0" w:space="0" w:color="auto"/>
        <w:bottom w:val="none" w:sz="0" w:space="0" w:color="auto"/>
        <w:right w:val="none" w:sz="0" w:space="0" w:color="auto"/>
      </w:divBdr>
    </w:div>
    <w:div w:id="213200495">
      <w:bodyDiv w:val="1"/>
      <w:marLeft w:val="0"/>
      <w:marRight w:val="0"/>
      <w:marTop w:val="0"/>
      <w:marBottom w:val="0"/>
      <w:divBdr>
        <w:top w:val="none" w:sz="0" w:space="0" w:color="auto"/>
        <w:left w:val="none" w:sz="0" w:space="0" w:color="auto"/>
        <w:bottom w:val="none" w:sz="0" w:space="0" w:color="auto"/>
        <w:right w:val="none" w:sz="0" w:space="0" w:color="auto"/>
      </w:divBdr>
    </w:div>
    <w:div w:id="221870991">
      <w:bodyDiv w:val="1"/>
      <w:marLeft w:val="0"/>
      <w:marRight w:val="0"/>
      <w:marTop w:val="0"/>
      <w:marBottom w:val="0"/>
      <w:divBdr>
        <w:top w:val="none" w:sz="0" w:space="0" w:color="auto"/>
        <w:left w:val="none" w:sz="0" w:space="0" w:color="auto"/>
        <w:bottom w:val="none" w:sz="0" w:space="0" w:color="auto"/>
        <w:right w:val="none" w:sz="0" w:space="0" w:color="auto"/>
      </w:divBdr>
    </w:div>
    <w:div w:id="338897353">
      <w:bodyDiv w:val="1"/>
      <w:marLeft w:val="0"/>
      <w:marRight w:val="0"/>
      <w:marTop w:val="0"/>
      <w:marBottom w:val="0"/>
      <w:divBdr>
        <w:top w:val="none" w:sz="0" w:space="0" w:color="auto"/>
        <w:left w:val="none" w:sz="0" w:space="0" w:color="auto"/>
        <w:bottom w:val="none" w:sz="0" w:space="0" w:color="auto"/>
        <w:right w:val="none" w:sz="0" w:space="0" w:color="auto"/>
      </w:divBdr>
    </w:div>
    <w:div w:id="543834866">
      <w:bodyDiv w:val="1"/>
      <w:marLeft w:val="0"/>
      <w:marRight w:val="0"/>
      <w:marTop w:val="0"/>
      <w:marBottom w:val="0"/>
      <w:divBdr>
        <w:top w:val="none" w:sz="0" w:space="0" w:color="auto"/>
        <w:left w:val="none" w:sz="0" w:space="0" w:color="auto"/>
        <w:bottom w:val="none" w:sz="0" w:space="0" w:color="auto"/>
        <w:right w:val="none" w:sz="0" w:space="0" w:color="auto"/>
      </w:divBdr>
    </w:div>
    <w:div w:id="595603488">
      <w:bodyDiv w:val="1"/>
      <w:marLeft w:val="0"/>
      <w:marRight w:val="0"/>
      <w:marTop w:val="0"/>
      <w:marBottom w:val="0"/>
      <w:divBdr>
        <w:top w:val="none" w:sz="0" w:space="0" w:color="auto"/>
        <w:left w:val="none" w:sz="0" w:space="0" w:color="auto"/>
        <w:bottom w:val="none" w:sz="0" w:space="0" w:color="auto"/>
        <w:right w:val="none" w:sz="0" w:space="0" w:color="auto"/>
      </w:divBdr>
    </w:div>
    <w:div w:id="595867070">
      <w:bodyDiv w:val="1"/>
      <w:marLeft w:val="0"/>
      <w:marRight w:val="0"/>
      <w:marTop w:val="0"/>
      <w:marBottom w:val="0"/>
      <w:divBdr>
        <w:top w:val="none" w:sz="0" w:space="0" w:color="auto"/>
        <w:left w:val="none" w:sz="0" w:space="0" w:color="auto"/>
        <w:bottom w:val="none" w:sz="0" w:space="0" w:color="auto"/>
        <w:right w:val="none" w:sz="0" w:space="0" w:color="auto"/>
      </w:divBdr>
    </w:div>
    <w:div w:id="657078388">
      <w:bodyDiv w:val="1"/>
      <w:marLeft w:val="0"/>
      <w:marRight w:val="0"/>
      <w:marTop w:val="0"/>
      <w:marBottom w:val="0"/>
      <w:divBdr>
        <w:top w:val="none" w:sz="0" w:space="0" w:color="auto"/>
        <w:left w:val="none" w:sz="0" w:space="0" w:color="auto"/>
        <w:bottom w:val="none" w:sz="0" w:space="0" w:color="auto"/>
        <w:right w:val="none" w:sz="0" w:space="0" w:color="auto"/>
      </w:divBdr>
    </w:div>
    <w:div w:id="738668877">
      <w:bodyDiv w:val="1"/>
      <w:marLeft w:val="0"/>
      <w:marRight w:val="0"/>
      <w:marTop w:val="0"/>
      <w:marBottom w:val="0"/>
      <w:divBdr>
        <w:top w:val="none" w:sz="0" w:space="0" w:color="auto"/>
        <w:left w:val="none" w:sz="0" w:space="0" w:color="auto"/>
        <w:bottom w:val="none" w:sz="0" w:space="0" w:color="auto"/>
        <w:right w:val="none" w:sz="0" w:space="0" w:color="auto"/>
      </w:divBdr>
    </w:div>
    <w:div w:id="765269406">
      <w:bodyDiv w:val="1"/>
      <w:marLeft w:val="0"/>
      <w:marRight w:val="0"/>
      <w:marTop w:val="0"/>
      <w:marBottom w:val="0"/>
      <w:divBdr>
        <w:top w:val="none" w:sz="0" w:space="0" w:color="auto"/>
        <w:left w:val="none" w:sz="0" w:space="0" w:color="auto"/>
        <w:bottom w:val="none" w:sz="0" w:space="0" w:color="auto"/>
        <w:right w:val="none" w:sz="0" w:space="0" w:color="auto"/>
      </w:divBdr>
    </w:div>
    <w:div w:id="782842059">
      <w:bodyDiv w:val="1"/>
      <w:marLeft w:val="0"/>
      <w:marRight w:val="0"/>
      <w:marTop w:val="0"/>
      <w:marBottom w:val="0"/>
      <w:divBdr>
        <w:top w:val="none" w:sz="0" w:space="0" w:color="auto"/>
        <w:left w:val="none" w:sz="0" w:space="0" w:color="auto"/>
        <w:bottom w:val="none" w:sz="0" w:space="0" w:color="auto"/>
        <w:right w:val="none" w:sz="0" w:space="0" w:color="auto"/>
      </w:divBdr>
    </w:div>
    <w:div w:id="804735611">
      <w:bodyDiv w:val="1"/>
      <w:marLeft w:val="0"/>
      <w:marRight w:val="0"/>
      <w:marTop w:val="0"/>
      <w:marBottom w:val="0"/>
      <w:divBdr>
        <w:top w:val="none" w:sz="0" w:space="0" w:color="auto"/>
        <w:left w:val="none" w:sz="0" w:space="0" w:color="auto"/>
        <w:bottom w:val="none" w:sz="0" w:space="0" w:color="auto"/>
        <w:right w:val="none" w:sz="0" w:space="0" w:color="auto"/>
      </w:divBdr>
    </w:div>
    <w:div w:id="812675858">
      <w:bodyDiv w:val="1"/>
      <w:marLeft w:val="0"/>
      <w:marRight w:val="0"/>
      <w:marTop w:val="0"/>
      <w:marBottom w:val="0"/>
      <w:divBdr>
        <w:top w:val="none" w:sz="0" w:space="0" w:color="auto"/>
        <w:left w:val="none" w:sz="0" w:space="0" w:color="auto"/>
        <w:bottom w:val="none" w:sz="0" w:space="0" w:color="auto"/>
        <w:right w:val="none" w:sz="0" w:space="0" w:color="auto"/>
      </w:divBdr>
    </w:div>
    <w:div w:id="846792487">
      <w:bodyDiv w:val="1"/>
      <w:marLeft w:val="0"/>
      <w:marRight w:val="0"/>
      <w:marTop w:val="0"/>
      <w:marBottom w:val="0"/>
      <w:divBdr>
        <w:top w:val="none" w:sz="0" w:space="0" w:color="auto"/>
        <w:left w:val="none" w:sz="0" w:space="0" w:color="auto"/>
        <w:bottom w:val="none" w:sz="0" w:space="0" w:color="auto"/>
        <w:right w:val="none" w:sz="0" w:space="0" w:color="auto"/>
      </w:divBdr>
    </w:div>
    <w:div w:id="904756562">
      <w:bodyDiv w:val="1"/>
      <w:marLeft w:val="0"/>
      <w:marRight w:val="0"/>
      <w:marTop w:val="0"/>
      <w:marBottom w:val="0"/>
      <w:divBdr>
        <w:top w:val="none" w:sz="0" w:space="0" w:color="auto"/>
        <w:left w:val="none" w:sz="0" w:space="0" w:color="auto"/>
        <w:bottom w:val="none" w:sz="0" w:space="0" w:color="auto"/>
        <w:right w:val="none" w:sz="0" w:space="0" w:color="auto"/>
      </w:divBdr>
    </w:div>
    <w:div w:id="960693571">
      <w:bodyDiv w:val="1"/>
      <w:marLeft w:val="0"/>
      <w:marRight w:val="0"/>
      <w:marTop w:val="0"/>
      <w:marBottom w:val="0"/>
      <w:divBdr>
        <w:top w:val="none" w:sz="0" w:space="0" w:color="auto"/>
        <w:left w:val="none" w:sz="0" w:space="0" w:color="auto"/>
        <w:bottom w:val="none" w:sz="0" w:space="0" w:color="auto"/>
        <w:right w:val="none" w:sz="0" w:space="0" w:color="auto"/>
      </w:divBdr>
    </w:div>
    <w:div w:id="1059092543">
      <w:bodyDiv w:val="1"/>
      <w:marLeft w:val="0"/>
      <w:marRight w:val="0"/>
      <w:marTop w:val="0"/>
      <w:marBottom w:val="0"/>
      <w:divBdr>
        <w:top w:val="none" w:sz="0" w:space="0" w:color="auto"/>
        <w:left w:val="none" w:sz="0" w:space="0" w:color="auto"/>
        <w:bottom w:val="none" w:sz="0" w:space="0" w:color="auto"/>
        <w:right w:val="none" w:sz="0" w:space="0" w:color="auto"/>
      </w:divBdr>
    </w:div>
    <w:div w:id="1085416385">
      <w:bodyDiv w:val="1"/>
      <w:marLeft w:val="0"/>
      <w:marRight w:val="0"/>
      <w:marTop w:val="0"/>
      <w:marBottom w:val="0"/>
      <w:divBdr>
        <w:top w:val="none" w:sz="0" w:space="0" w:color="auto"/>
        <w:left w:val="none" w:sz="0" w:space="0" w:color="auto"/>
        <w:bottom w:val="none" w:sz="0" w:space="0" w:color="auto"/>
        <w:right w:val="none" w:sz="0" w:space="0" w:color="auto"/>
      </w:divBdr>
    </w:div>
    <w:div w:id="1087115525">
      <w:bodyDiv w:val="1"/>
      <w:marLeft w:val="0"/>
      <w:marRight w:val="0"/>
      <w:marTop w:val="0"/>
      <w:marBottom w:val="0"/>
      <w:divBdr>
        <w:top w:val="none" w:sz="0" w:space="0" w:color="auto"/>
        <w:left w:val="none" w:sz="0" w:space="0" w:color="auto"/>
        <w:bottom w:val="none" w:sz="0" w:space="0" w:color="auto"/>
        <w:right w:val="none" w:sz="0" w:space="0" w:color="auto"/>
      </w:divBdr>
    </w:div>
    <w:div w:id="1129587824">
      <w:bodyDiv w:val="1"/>
      <w:marLeft w:val="0"/>
      <w:marRight w:val="0"/>
      <w:marTop w:val="0"/>
      <w:marBottom w:val="0"/>
      <w:divBdr>
        <w:top w:val="none" w:sz="0" w:space="0" w:color="auto"/>
        <w:left w:val="none" w:sz="0" w:space="0" w:color="auto"/>
        <w:bottom w:val="none" w:sz="0" w:space="0" w:color="auto"/>
        <w:right w:val="none" w:sz="0" w:space="0" w:color="auto"/>
      </w:divBdr>
    </w:div>
    <w:div w:id="1150168264">
      <w:bodyDiv w:val="1"/>
      <w:marLeft w:val="0"/>
      <w:marRight w:val="0"/>
      <w:marTop w:val="0"/>
      <w:marBottom w:val="0"/>
      <w:divBdr>
        <w:top w:val="none" w:sz="0" w:space="0" w:color="auto"/>
        <w:left w:val="none" w:sz="0" w:space="0" w:color="auto"/>
        <w:bottom w:val="none" w:sz="0" w:space="0" w:color="auto"/>
        <w:right w:val="none" w:sz="0" w:space="0" w:color="auto"/>
      </w:divBdr>
    </w:div>
    <w:div w:id="1170098950">
      <w:bodyDiv w:val="1"/>
      <w:marLeft w:val="0"/>
      <w:marRight w:val="0"/>
      <w:marTop w:val="0"/>
      <w:marBottom w:val="0"/>
      <w:divBdr>
        <w:top w:val="none" w:sz="0" w:space="0" w:color="auto"/>
        <w:left w:val="none" w:sz="0" w:space="0" w:color="auto"/>
        <w:bottom w:val="none" w:sz="0" w:space="0" w:color="auto"/>
        <w:right w:val="none" w:sz="0" w:space="0" w:color="auto"/>
      </w:divBdr>
    </w:div>
    <w:div w:id="1214973923">
      <w:bodyDiv w:val="1"/>
      <w:marLeft w:val="0"/>
      <w:marRight w:val="0"/>
      <w:marTop w:val="0"/>
      <w:marBottom w:val="0"/>
      <w:divBdr>
        <w:top w:val="none" w:sz="0" w:space="0" w:color="auto"/>
        <w:left w:val="none" w:sz="0" w:space="0" w:color="auto"/>
        <w:bottom w:val="none" w:sz="0" w:space="0" w:color="auto"/>
        <w:right w:val="none" w:sz="0" w:space="0" w:color="auto"/>
      </w:divBdr>
    </w:div>
    <w:div w:id="1227034166">
      <w:bodyDiv w:val="1"/>
      <w:marLeft w:val="0"/>
      <w:marRight w:val="0"/>
      <w:marTop w:val="0"/>
      <w:marBottom w:val="0"/>
      <w:divBdr>
        <w:top w:val="none" w:sz="0" w:space="0" w:color="auto"/>
        <w:left w:val="none" w:sz="0" w:space="0" w:color="auto"/>
        <w:bottom w:val="none" w:sz="0" w:space="0" w:color="auto"/>
        <w:right w:val="none" w:sz="0" w:space="0" w:color="auto"/>
      </w:divBdr>
    </w:div>
    <w:div w:id="1237547271">
      <w:bodyDiv w:val="1"/>
      <w:marLeft w:val="0"/>
      <w:marRight w:val="0"/>
      <w:marTop w:val="0"/>
      <w:marBottom w:val="0"/>
      <w:divBdr>
        <w:top w:val="none" w:sz="0" w:space="0" w:color="auto"/>
        <w:left w:val="none" w:sz="0" w:space="0" w:color="auto"/>
        <w:bottom w:val="none" w:sz="0" w:space="0" w:color="auto"/>
        <w:right w:val="none" w:sz="0" w:space="0" w:color="auto"/>
      </w:divBdr>
    </w:div>
    <w:div w:id="1250507976">
      <w:bodyDiv w:val="1"/>
      <w:marLeft w:val="0"/>
      <w:marRight w:val="0"/>
      <w:marTop w:val="0"/>
      <w:marBottom w:val="0"/>
      <w:divBdr>
        <w:top w:val="none" w:sz="0" w:space="0" w:color="auto"/>
        <w:left w:val="none" w:sz="0" w:space="0" w:color="auto"/>
        <w:bottom w:val="none" w:sz="0" w:space="0" w:color="auto"/>
        <w:right w:val="none" w:sz="0" w:space="0" w:color="auto"/>
      </w:divBdr>
    </w:div>
    <w:div w:id="1281642743">
      <w:bodyDiv w:val="1"/>
      <w:marLeft w:val="0"/>
      <w:marRight w:val="0"/>
      <w:marTop w:val="0"/>
      <w:marBottom w:val="0"/>
      <w:divBdr>
        <w:top w:val="none" w:sz="0" w:space="0" w:color="auto"/>
        <w:left w:val="none" w:sz="0" w:space="0" w:color="auto"/>
        <w:bottom w:val="none" w:sz="0" w:space="0" w:color="auto"/>
        <w:right w:val="none" w:sz="0" w:space="0" w:color="auto"/>
      </w:divBdr>
    </w:div>
    <w:div w:id="1298411087">
      <w:bodyDiv w:val="1"/>
      <w:marLeft w:val="0"/>
      <w:marRight w:val="0"/>
      <w:marTop w:val="0"/>
      <w:marBottom w:val="0"/>
      <w:divBdr>
        <w:top w:val="none" w:sz="0" w:space="0" w:color="auto"/>
        <w:left w:val="none" w:sz="0" w:space="0" w:color="auto"/>
        <w:bottom w:val="none" w:sz="0" w:space="0" w:color="auto"/>
        <w:right w:val="none" w:sz="0" w:space="0" w:color="auto"/>
      </w:divBdr>
    </w:div>
    <w:div w:id="1357584370">
      <w:bodyDiv w:val="1"/>
      <w:marLeft w:val="0"/>
      <w:marRight w:val="0"/>
      <w:marTop w:val="0"/>
      <w:marBottom w:val="0"/>
      <w:divBdr>
        <w:top w:val="none" w:sz="0" w:space="0" w:color="auto"/>
        <w:left w:val="none" w:sz="0" w:space="0" w:color="auto"/>
        <w:bottom w:val="none" w:sz="0" w:space="0" w:color="auto"/>
        <w:right w:val="none" w:sz="0" w:space="0" w:color="auto"/>
      </w:divBdr>
    </w:div>
    <w:div w:id="1392582612">
      <w:bodyDiv w:val="1"/>
      <w:marLeft w:val="0"/>
      <w:marRight w:val="0"/>
      <w:marTop w:val="0"/>
      <w:marBottom w:val="0"/>
      <w:divBdr>
        <w:top w:val="none" w:sz="0" w:space="0" w:color="auto"/>
        <w:left w:val="none" w:sz="0" w:space="0" w:color="auto"/>
        <w:bottom w:val="none" w:sz="0" w:space="0" w:color="auto"/>
        <w:right w:val="none" w:sz="0" w:space="0" w:color="auto"/>
      </w:divBdr>
    </w:div>
    <w:div w:id="1421950481">
      <w:bodyDiv w:val="1"/>
      <w:marLeft w:val="0"/>
      <w:marRight w:val="0"/>
      <w:marTop w:val="0"/>
      <w:marBottom w:val="0"/>
      <w:divBdr>
        <w:top w:val="none" w:sz="0" w:space="0" w:color="auto"/>
        <w:left w:val="none" w:sz="0" w:space="0" w:color="auto"/>
        <w:bottom w:val="none" w:sz="0" w:space="0" w:color="auto"/>
        <w:right w:val="none" w:sz="0" w:space="0" w:color="auto"/>
      </w:divBdr>
    </w:div>
    <w:div w:id="1448042440">
      <w:bodyDiv w:val="1"/>
      <w:marLeft w:val="0"/>
      <w:marRight w:val="0"/>
      <w:marTop w:val="0"/>
      <w:marBottom w:val="0"/>
      <w:divBdr>
        <w:top w:val="none" w:sz="0" w:space="0" w:color="auto"/>
        <w:left w:val="none" w:sz="0" w:space="0" w:color="auto"/>
        <w:bottom w:val="none" w:sz="0" w:space="0" w:color="auto"/>
        <w:right w:val="none" w:sz="0" w:space="0" w:color="auto"/>
      </w:divBdr>
    </w:div>
    <w:div w:id="1450933455">
      <w:bodyDiv w:val="1"/>
      <w:marLeft w:val="0"/>
      <w:marRight w:val="0"/>
      <w:marTop w:val="0"/>
      <w:marBottom w:val="0"/>
      <w:divBdr>
        <w:top w:val="none" w:sz="0" w:space="0" w:color="auto"/>
        <w:left w:val="none" w:sz="0" w:space="0" w:color="auto"/>
        <w:bottom w:val="none" w:sz="0" w:space="0" w:color="auto"/>
        <w:right w:val="none" w:sz="0" w:space="0" w:color="auto"/>
      </w:divBdr>
    </w:div>
    <w:div w:id="1459101592">
      <w:bodyDiv w:val="1"/>
      <w:marLeft w:val="0"/>
      <w:marRight w:val="0"/>
      <w:marTop w:val="0"/>
      <w:marBottom w:val="0"/>
      <w:divBdr>
        <w:top w:val="none" w:sz="0" w:space="0" w:color="auto"/>
        <w:left w:val="none" w:sz="0" w:space="0" w:color="auto"/>
        <w:bottom w:val="none" w:sz="0" w:space="0" w:color="auto"/>
        <w:right w:val="none" w:sz="0" w:space="0" w:color="auto"/>
      </w:divBdr>
    </w:div>
    <w:div w:id="1564876496">
      <w:bodyDiv w:val="1"/>
      <w:marLeft w:val="0"/>
      <w:marRight w:val="0"/>
      <w:marTop w:val="0"/>
      <w:marBottom w:val="0"/>
      <w:divBdr>
        <w:top w:val="none" w:sz="0" w:space="0" w:color="auto"/>
        <w:left w:val="none" w:sz="0" w:space="0" w:color="auto"/>
        <w:bottom w:val="none" w:sz="0" w:space="0" w:color="auto"/>
        <w:right w:val="none" w:sz="0" w:space="0" w:color="auto"/>
      </w:divBdr>
    </w:div>
    <w:div w:id="1587811700">
      <w:bodyDiv w:val="1"/>
      <w:marLeft w:val="0"/>
      <w:marRight w:val="0"/>
      <w:marTop w:val="0"/>
      <w:marBottom w:val="0"/>
      <w:divBdr>
        <w:top w:val="none" w:sz="0" w:space="0" w:color="auto"/>
        <w:left w:val="none" w:sz="0" w:space="0" w:color="auto"/>
        <w:bottom w:val="none" w:sz="0" w:space="0" w:color="auto"/>
        <w:right w:val="none" w:sz="0" w:space="0" w:color="auto"/>
      </w:divBdr>
    </w:div>
    <w:div w:id="1620451920">
      <w:bodyDiv w:val="1"/>
      <w:marLeft w:val="0"/>
      <w:marRight w:val="0"/>
      <w:marTop w:val="0"/>
      <w:marBottom w:val="0"/>
      <w:divBdr>
        <w:top w:val="none" w:sz="0" w:space="0" w:color="auto"/>
        <w:left w:val="none" w:sz="0" w:space="0" w:color="auto"/>
        <w:bottom w:val="none" w:sz="0" w:space="0" w:color="auto"/>
        <w:right w:val="none" w:sz="0" w:space="0" w:color="auto"/>
      </w:divBdr>
    </w:div>
    <w:div w:id="1657298463">
      <w:bodyDiv w:val="1"/>
      <w:marLeft w:val="0"/>
      <w:marRight w:val="0"/>
      <w:marTop w:val="0"/>
      <w:marBottom w:val="0"/>
      <w:divBdr>
        <w:top w:val="none" w:sz="0" w:space="0" w:color="auto"/>
        <w:left w:val="none" w:sz="0" w:space="0" w:color="auto"/>
        <w:bottom w:val="none" w:sz="0" w:space="0" w:color="auto"/>
        <w:right w:val="none" w:sz="0" w:space="0" w:color="auto"/>
      </w:divBdr>
    </w:div>
    <w:div w:id="1662269937">
      <w:bodyDiv w:val="1"/>
      <w:marLeft w:val="0"/>
      <w:marRight w:val="0"/>
      <w:marTop w:val="0"/>
      <w:marBottom w:val="0"/>
      <w:divBdr>
        <w:top w:val="none" w:sz="0" w:space="0" w:color="auto"/>
        <w:left w:val="none" w:sz="0" w:space="0" w:color="auto"/>
        <w:bottom w:val="none" w:sz="0" w:space="0" w:color="auto"/>
        <w:right w:val="none" w:sz="0" w:space="0" w:color="auto"/>
      </w:divBdr>
    </w:div>
    <w:div w:id="1678843552">
      <w:bodyDiv w:val="1"/>
      <w:marLeft w:val="0"/>
      <w:marRight w:val="0"/>
      <w:marTop w:val="0"/>
      <w:marBottom w:val="0"/>
      <w:divBdr>
        <w:top w:val="none" w:sz="0" w:space="0" w:color="auto"/>
        <w:left w:val="none" w:sz="0" w:space="0" w:color="auto"/>
        <w:bottom w:val="none" w:sz="0" w:space="0" w:color="auto"/>
        <w:right w:val="none" w:sz="0" w:space="0" w:color="auto"/>
      </w:divBdr>
    </w:div>
    <w:div w:id="1717316127">
      <w:bodyDiv w:val="1"/>
      <w:marLeft w:val="0"/>
      <w:marRight w:val="0"/>
      <w:marTop w:val="0"/>
      <w:marBottom w:val="0"/>
      <w:divBdr>
        <w:top w:val="none" w:sz="0" w:space="0" w:color="auto"/>
        <w:left w:val="none" w:sz="0" w:space="0" w:color="auto"/>
        <w:bottom w:val="none" w:sz="0" w:space="0" w:color="auto"/>
        <w:right w:val="none" w:sz="0" w:space="0" w:color="auto"/>
      </w:divBdr>
    </w:div>
    <w:div w:id="1753774421">
      <w:bodyDiv w:val="1"/>
      <w:marLeft w:val="0"/>
      <w:marRight w:val="0"/>
      <w:marTop w:val="0"/>
      <w:marBottom w:val="0"/>
      <w:divBdr>
        <w:top w:val="none" w:sz="0" w:space="0" w:color="auto"/>
        <w:left w:val="none" w:sz="0" w:space="0" w:color="auto"/>
        <w:bottom w:val="none" w:sz="0" w:space="0" w:color="auto"/>
        <w:right w:val="none" w:sz="0" w:space="0" w:color="auto"/>
      </w:divBdr>
    </w:div>
    <w:div w:id="1772166681">
      <w:bodyDiv w:val="1"/>
      <w:marLeft w:val="0"/>
      <w:marRight w:val="0"/>
      <w:marTop w:val="0"/>
      <w:marBottom w:val="0"/>
      <w:divBdr>
        <w:top w:val="none" w:sz="0" w:space="0" w:color="auto"/>
        <w:left w:val="none" w:sz="0" w:space="0" w:color="auto"/>
        <w:bottom w:val="none" w:sz="0" w:space="0" w:color="auto"/>
        <w:right w:val="none" w:sz="0" w:space="0" w:color="auto"/>
      </w:divBdr>
    </w:div>
    <w:div w:id="1868181606">
      <w:bodyDiv w:val="1"/>
      <w:marLeft w:val="0"/>
      <w:marRight w:val="0"/>
      <w:marTop w:val="0"/>
      <w:marBottom w:val="0"/>
      <w:divBdr>
        <w:top w:val="none" w:sz="0" w:space="0" w:color="auto"/>
        <w:left w:val="none" w:sz="0" w:space="0" w:color="auto"/>
        <w:bottom w:val="none" w:sz="0" w:space="0" w:color="auto"/>
        <w:right w:val="none" w:sz="0" w:space="0" w:color="auto"/>
      </w:divBdr>
    </w:div>
    <w:div w:id="1896357258">
      <w:bodyDiv w:val="1"/>
      <w:marLeft w:val="0"/>
      <w:marRight w:val="0"/>
      <w:marTop w:val="0"/>
      <w:marBottom w:val="0"/>
      <w:divBdr>
        <w:top w:val="none" w:sz="0" w:space="0" w:color="auto"/>
        <w:left w:val="none" w:sz="0" w:space="0" w:color="auto"/>
        <w:bottom w:val="none" w:sz="0" w:space="0" w:color="auto"/>
        <w:right w:val="none" w:sz="0" w:space="0" w:color="auto"/>
      </w:divBdr>
    </w:div>
    <w:div w:id="2128044524">
      <w:bodyDiv w:val="1"/>
      <w:marLeft w:val="0"/>
      <w:marRight w:val="0"/>
      <w:marTop w:val="0"/>
      <w:marBottom w:val="0"/>
      <w:divBdr>
        <w:top w:val="none" w:sz="0" w:space="0" w:color="auto"/>
        <w:left w:val="none" w:sz="0" w:space="0" w:color="auto"/>
        <w:bottom w:val="none" w:sz="0" w:space="0" w:color="auto"/>
        <w:right w:val="none" w:sz="0" w:space="0" w:color="auto"/>
      </w:divBdr>
    </w:div>
    <w:div w:id="21429898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Props1.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7AC1533-5676-43C6-8A4B-3E1CDB370C75}">
  <ds:schemaRefs>
    <ds:schemaRef ds:uri="http://schemas.microsoft.com/sharepoint/v3/contenttype/forms"/>
  </ds:schemaRefs>
</ds:datastoreItem>
</file>

<file path=customXml/itemProps3.xml><?xml version="1.0" encoding="utf-8"?>
<ds:datastoreItem xmlns:ds="http://schemas.openxmlformats.org/officeDocument/2006/customXml" ds:itemID="{BE5E7BC6-10D7-480A-8AE3-59F77BA6F699}">
  <ds:schemaRefs>
    <ds:schemaRef ds:uri="http://schemas.openxmlformats.org/officeDocument/2006/bibliography"/>
  </ds:schemaRefs>
</ds:datastoreItem>
</file>

<file path=customXml/itemProps4.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8</Pages>
  <Words>2064</Words>
  <Characters>11352</Characters>
  <Application>Microsoft Office Word</Application>
  <DocSecurity>0</DocSecurity>
  <Lines>94</Lines>
  <Paragraphs>26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13390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Nicolás Aguirre</dc:creator>
  <cp:lastModifiedBy>Nicolas Aguirre</cp:lastModifiedBy>
  <cp:revision>9</cp:revision>
  <dcterms:created xsi:type="dcterms:W3CDTF">2024-08-16T17:21:00Z</dcterms:created>
  <dcterms:modified xsi:type="dcterms:W3CDTF">2025-01-07T10:09:00Z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